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DFDB2" w14:textId="77777777" w:rsidR="00120910" w:rsidRPr="00486876" w:rsidRDefault="00120910" w:rsidP="00E950DD">
      <w:pPr>
        <w:ind w:left="360" w:right="1440"/>
        <w:rPr>
          <w:rFonts w:cs="Times New Roman"/>
          <w:sz w:val="22"/>
          <w:szCs w:val="22"/>
        </w:rPr>
      </w:pPr>
    </w:p>
    <w:p w14:paraId="5CC2FE65" w14:textId="77777777" w:rsidR="00120910" w:rsidRPr="00486876" w:rsidRDefault="00120910" w:rsidP="00E950DD">
      <w:pPr>
        <w:ind w:left="360" w:right="1440"/>
        <w:rPr>
          <w:rFonts w:cs="Times New Roman"/>
          <w:sz w:val="22"/>
          <w:szCs w:val="22"/>
        </w:rPr>
      </w:pPr>
    </w:p>
    <w:p w14:paraId="6C46FF8E" w14:textId="77777777" w:rsidR="00120910" w:rsidRPr="00486876" w:rsidRDefault="00120910" w:rsidP="00E950DD">
      <w:pPr>
        <w:ind w:left="360" w:right="1440"/>
        <w:rPr>
          <w:rFonts w:cs="Times New Roman"/>
          <w:sz w:val="22"/>
          <w:szCs w:val="22"/>
        </w:rPr>
      </w:pPr>
    </w:p>
    <w:p w14:paraId="376D0FB5" w14:textId="77777777" w:rsidR="00120910" w:rsidRPr="00486876" w:rsidRDefault="00120910" w:rsidP="00E950DD">
      <w:pPr>
        <w:ind w:left="360" w:right="1440"/>
        <w:rPr>
          <w:rFonts w:cs="Times New Roman"/>
          <w:sz w:val="22"/>
          <w:szCs w:val="22"/>
        </w:rPr>
      </w:pPr>
    </w:p>
    <w:p w14:paraId="0891009A" w14:textId="77777777" w:rsidR="00861DD3" w:rsidRPr="006D6513" w:rsidRDefault="00861DD3" w:rsidP="00E950DD">
      <w:pPr>
        <w:tabs>
          <w:tab w:val="left" w:pos="6120"/>
        </w:tabs>
        <w:rPr>
          <w:rFonts w:eastAsia="Calibri" w:cs="Times New Roman"/>
          <w:sz w:val="20"/>
          <w:szCs w:val="20"/>
          <w:highlight w:val="yellow"/>
        </w:rPr>
      </w:pPr>
      <w:r w:rsidRPr="006D6513">
        <w:rPr>
          <w:rFonts w:eastAsia="Calibri" w:cs="Times New Roman"/>
          <w:sz w:val="20"/>
          <w:szCs w:val="20"/>
          <w:highlight w:val="yellow"/>
        </w:rPr>
        <w:t>Date</w:t>
      </w:r>
    </w:p>
    <w:p w14:paraId="3DD0B7FC" w14:textId="77777777" w:rsidR="00861DD3" w:rsidRPr="006D6513" w:rsidRDefault="00861DD3" w:rsidP="00E950DD">
      <w:pPr>
        <w:tabs>
          <w:tab w:val="left" w:pos="6120"/>
        </w:tabs>
        <w:rPr>
          <w:rFonts w:eastAsia="Calibri" w:cs="Times New Roman"/>
          <w:sz w:val="20"/>
          <w:szCs w:val="20"/>
          <w:highlight w:val="yellow"/>
        </w:rPr>
      </w:pPr>
    </w:p>
    <w:p w14:paraId="6DA8F6F0" w14:textId="77777777" w:rsidR="00861DD3" w:rsidRPr="006D6513" w:rsidRDefault="00861DD3" w:rsidP="00E950DD">
      <w:pPr>
        <w:tabs>
          <w:tab w:val="left" w:pos="6120"/>
        </w:tabs>
        <w:rPr>
          <w:rFonts w:eastAsia="Calibri" w:cs="Times New Roman"/>
          <w:sz w:val="20"/>
          <w:szCs w:val="20"/>
          <w:highlight w:val="yellow"/>
        </w:rPr>
      </w:pPr>
      <w:r w:rsidRPr="006D6513">
        <w:rPr>
          <w:rFonts w:eastAsia="Calibri" w:cs="Times New Roman"/>
          <w:sz w:val="20"/>
          <w:szCs w:val="20"/>
          <w:highlight w:val="yellow"/>
        </w:rPr>
        <w:t>Name</w:t>
      </w:r>
    </w:p>
    <w:p w14:paraId="061643DC" w14:textId="77777777" w:rsidR="00861DD3" w:rsidRPr="006D6513" w:rsidRDefault="00861DD3" w:rsidP="00E950DD">
      <w:pPr>
        <w:tabs>
          <w:tab w:val="left" w:pos="6120"/>
        </w:tabs>
        <w:rPr>
          <w:rFonts w:eastAsia="Calibri" w:cs="Times New Roman"/>
          <w:sz w:val="20"/>
          <w:szCs w:val="20"/>
          <w:highlight w:val="yellow"/>
        </w:rPr>
      </w:pPr>
      <w:r w:rsidRPr="006D6513">
        <w:rPr>
          <w:rFonts w:eastAsia="Calibri" w:cs="Times New Roman"/>
          <w:sz w:val="20"/>
          <w:szCs w:val="20"/>
          <w:highlight w:val="yellow"/>
        </w:rPr>
        <w:t>Title</w:t>
      </w:r>
    </w:p>
    <w:p w14:paraId="1F360D57" w14:textId="77777777" w:rsidR="00861DD3" w:rsidRPr="006D6513" w:rsidRDefault="00861DD3" w:rsidP="00E950DD">
      <w:pPr>
        <w:tabs>
          <w:tab w:val="left" w:pos="6120"/>
        </w:tabs>
        <w:rPr>
          <w:rFonts w:eastAsia="Calibri" w:cs="Times New Roman"/>
          <w:sz w:val="20"/>
          <w:szCs w:val="20"/>
          <w:highlight w:val="yellow"/>
        </w:rPr>
      </w:pPr>
      <w:r w:rsidRPr="006D6513">
        <w:rPr>
          <w:rFonts w:eastAsia="Calibri" w:cs="Times New Roman"/>
          <w:sz w:val="20"/>
          <w:szCs w:val="20"/>
          <w:highlight w:val="yellow"/>
        </w:rPr>
        <w:t>Department</w:t>
      </w:r>
    </w:p>
    <w:p w14:paraId="77AA81D8" w14:textId="77777777" w:rsidR="00861DD3" w:rsidRPr="006D6513" w:rsidRDefault="00861DD3" w:rsidP="00E950DD">
      <w:pPr>
        <w:tabs>
          <w:tab w:val="left" w:pos="6120"/>
        </w:tabs>
        <w:rPr>
          <w:rFonts w:eastAsia="Calibri" w:cs="Times New Roman"/>
          <w:sz w:val="20"/>
          <w:szCs w:val="20"/>
          <w:highlight w:val="yellow"/>
        </w:rPr>
      </w:pPr>
      <w:r w:rsidRPr="006D6513">
        <w:rPr>
          <w:rFonts w:eastAsia="Calibri" w:cs="Times New Roman"/>
          <w:sz w:val="20"/>
          <w:szCs w:val="20"/>
          <w:highlight w:val="yellow"/>
        </w:rPr>
        <w:t>University of Utah</w:t>
      </w:r>
    </w:p>
    <w:p w14:paraId="634420FF" w14:textId="77777777" w:rsidR="00861DD3" w:rsidRPr="006D6513" w:rsidRDefault="00861DD3" w:rsidP="00E950DD">
      <w:pPr>
        <w:tabs>
          <w:tab w:val="left" w:pos="6120"/>
        </w:tabs>
        <w:rPr>
          <w:rFonts w:eastAsia="Calibri" w:cs="Times New Roman"/>
          <w:sz w:val="20"/>
          <w:szCs w:val="20"/>
          <w:highlight w:val="yellow"/>
        </w:rPr>
      </w:pPr>
      <w:r w:rsidRPr="006D6513">
        <w:rPr>
          <w:rFonts w:eastAsia="Calibri" w:cs="Times New Roman"/>
          <w:sz w:val="20"/>
          <w:szCs w:val="20"/>
          <w:highlight w:val="yellow"/>
        </w:rPr>
        <w:t>Street</w:t>
      </w:r>
    </w:p>
    <w:p w14:paraId="47B2B545" w14:textId="77777777" w:rsidR="00861DD3" w:rsidRPr="006D6513" w:rsidRDefault="00861DD3" w:rsidP="00E950DD">
      <w:pPr>
        <w:tabs>
          <w:tab w:val="left" w:pos="6120"/>
        </w:tabs>
        <w:rPr>
          <w:rFonts w:eastAsia="Calibri" w:cs="Times New Roman"/>
          <w:sz w:val="20"/>
          <w:szCs w:val="20"/>
        </w:rPr>
      </w:pPr>
      <w:r w:rsidRPr="006D6513">
        <w:rPr>
          <w:rFonts w:eastAsia="Calibri" w:cs="Times New Roman"/>
          <w:sz w:val="20"/>
          <w:szCs w:val="20"/>
          <w:highlight w:val="yellow"/>
        </w:rPr>
        <w:t>City, State, zip</w:t>
      </w:r>
    </w:p>
    <w:p w14:paraId="2DE101B7" w14:textId="77777777" w:rsidR="00861DD3" w:rsidRPr="006D6513" w:rsidRDefault="00861DD3" w:rsidP="00E950DD">
      <w:pPr>
        <w:tabs>
          <w:tab w:val="left" w:pos="6120"/>
        </w:tabs>
        <w:rPr>
          <w:rFonts w:eastAsia="Calibri" w:cs="Times New Roman"/>
          <w:sz w:val="20"/>
          <w:szCs w:val="20"/>
        </w:rPr>
      </w:pPr>
    </w:p>
    <w:p w14:paraId="2C0BA7AB" w14:textId="1748D952" w:rsidR="00861DD3" w:rsidRPr="006D6513" w:rsidRDefault="00861DD3" w:rsidP="00E950DD">
      <w:pPr>
        <w:tabs>
          <w:tab w:val="left" w:pos="6120"/>
        </w:tabs>
        <w:rPr>
          <w:rFonts w:eastAsia="Calibri" w:cs="Times New Roman"/>
          <w:sz w:val="20"/>
          <w:szCs w:val="20"/>
        </w:rPr>
      </w:pPr>
      <w:r w:rsidRPr="006D6513">
        <w:rPr>
          <w:rFonts w:eastAsia="Calibri" w:cs="Times New Roman"/>
          <w:sz w:val="20"/>
          <w:szCs w:val="20"/>
        </w:rPr>
        <w:t xml:space="preserve">Dear Dr. </w:t>
      </w:r>
      <w:r w:rsidR="00920E7E" w:rsidRPr="006D6513">
        <w:rPr>
          <w:rFonts w:eastAsia="Calibri" w:cs="Times New Roman"/>
          <w:sz w:val="20"/>
          <w:szCs w:val="20"/>
          <w:highlight w:val="yellow"/>
        </w:rPr>
        <w:t>XXXX</w:t>
      </w:r>
      <w:r w:rsidRPr="006D6513">
        <w:rPr>
          <w:rFonts w:eastAsia="Calibri" w:cs="Times New Roman"/>
          <w:sz w:val="20"/>
          <w:szCs w:val="20"/>
        </w:rPr>
        <w:t>:</w:t>
      </w:r>
    </w:p>
    <w:p w14:paraId="562C0AF5" w14:textId="77777777" w:rsidR="00861DD3" w:rsidRPr="006D6513" w:rsidRDefault="00861DD3" w:rsidP="00E950DD">
      <w:pPr>
        <w:tabs>
          <w:tab w:val="left" w:pos="6120"/>
        </w:tabs>
        <w:rPr>
          <w:rFonts w:eastAsia="Calibri" w:cs="Times New Roman"/>
          <w:sz w:val="20"/>
          <w:szCs w:val="20"/>
        </w:rPr>
      </w:pPr>
    </w:p>
    <w:p w14:paraId="595DDCB1" w14:textId="2D1D600D" w:rsidR="00D36689" w:rsidRPr="006D6513" w:rsidRDefault="006D530F" w:rsidP="00E950DD">
      <w:pPr>
        <w:pStyle w:val="Default"/>
        <w:rPr>
          <w:rFonts w:ascii="Century Gothic" w:hAnsi="Century Gothic"/>
          <w:i/>
          <w:sz w:val="20"/>
          <w:szCs w:val="20"/>
        </w:rPr>
      </w:pPr>
      <w:r w:rsidRPr="006D6513">
        <w:rPr>
          <w:rFonts w:ascii="Century Gothic" w:hAnsi="Century Gothic"/>
          <w:sz w:val="20"/>
          <w:szCs w:val="20"/>
        </w:rPr>
        <w:t xml:space="preserve">As </w:t>
      </w:r>
      <w:r w:rsidR="00AF0F49" w:rsidRPr="006D6513">
        <w:rPr>
          <w:rFonts w:ascii="Century Gothic" w:hAnsi="Century Gothic"/>
          <w:sz w:val="20"/>
          <w:szCs w:val="20"/>
        </w:rPr>
        <w:t>co-</w:t>
      </w:r>
      <w:r w:rsidRPr="006D6513">
        <w:rPr>
          <w:rFonts w:ascii="Century Gothic" w:hAnsi="Century Gothic"/>
          <w:sz w:val="20"/>
          <w:szCs w:val="20"/>
        </w:rPr>
        <w:t>Director</w:t>
      </w:r>
      <w:r w:rsidR="00AF0F49" w:rsidRPr="006D6513">
        <w:rPr>
          <w:rFonts w:ascii="Century Gothic" w:hAnsi="Century Gothic"/>
          <w:sz w:val="20"/>
          <w:szCs w:val="20"/>
        </w:rPr>
        <w:t>s</w:t>
      </w:r>
      <w:r w:rsidRPr="006D6513">
        <w:rPr>
          <w:rFonts w:ascii="Century Gothic" w:hAnsi="Century Gothic"/>
          <w:sz w:val="20"/>
          <w:szCs w:val="20"/>
        </w:rPr>
        <w:t xml:space="preserve"> of the Utah Clinical and Translational Science Institute (CTSI), </w:t>
      </w:r>
      <w:r w:rsidR="00AF0F49" w:rsidRPr="006D6513">
        <w:rPr>
          <w:rFonts w:ascii="Century Gothic" w:hAnsi="Century Gothic"/>
          <w:sz w:val="20"/>
          <w:szCs w:val="20"/>
        </w:rPr>
        <w:t>we are</w:t>
      </w:r>
      <w:r w:rsidRPr="006D6513">
        <w:rPr>
          <w:rFonts w:ascii="Century Gothic" w:hAnsi="Century Gothic"/>
          <w:sz w:val="20"/>
          <w:szCs w:val="20"/>
        </w:rPr>
        <w:t xml:space="preserve"> writing to express </w:t>
      </w:r>
      <w:r w:rsidR="00AF0F49" w:rsidRPr="006D6513">
        <w:rPr>
          <w:rFonts w:ascii="Century Gothic" w:hAnsi="Century Gothic"/>
          <w:sz w:val="20"/>
          <w:szCs w:val="20"/>
        </w:rPr>
        <w:t>our</w:t>
      </w:r>
      <w:r w:rsidRPr="006D6513">
        <w:rPr>
          <w:rFonts w:ascii="Century Gothic" w:hAnsi="Century Gothic"/>
          <w:sz w:val="20"/>
          <w:szCs w:val="20"/>
        </w:rPr>
        <w:t xml:space="preserve"> support</w:t>
      </w:r>
      <w:r w:rsidR="00534235" w:rsidRPr="006D6513">
        <w:rPr>
          <w:rFonts w:ascii="Century Gothic" w:hAnsi="Century Gothic"/>
          <w:sz w:val="20"/>
          <w:szCs w:val="20"/>
        </w:rPr>
        <w:t xml:space="preserve"> and enthusiasm</w:t>
      </w:r>
      <w:r w:rsidRPr="006D6513">
        <w:rPr>
          <w:rFonts w:ascii="Century Gothic" w:hAnsi="Century Gothic"/>
          <w:sz w:val="20"/>
          <w:szCs w:val="20"/>
        </w:rPr>
        <w:t xml:space="preserve"> for your application titled “</w:t>
      </w:r>
      <w:r w:rsidRPr="006D6513">
        <w:rPr>
          <w:rFonts w:ascii="Century Gothic" w:hAnsi="Century Gothic"/>
          <w:sz w:val="20"/>
          <w:szCs w:val="20"/>
          <w:highlight w:val="yellow"/>
        </w:rPr>
        <w:t>XXXXX</w:t>
      </w:r>
      <w:r w:rsidR="00B26353" w:rsidRPr="006D6513">
        <w:rPr>
          <w:rFonts w:ascii="Century Gothic" w:hAnsi="Century Gothic"/>
          <w:sz w:val="20"/>
          <w:szCs w:val="20"/>
        </w:rPr>
        <w:t>.”</w:t>
      </w:r>
      <w:r w:rsidRPr="006D6513">
        <w:rPr>
          <w:rFonts w:ascii="Century Gothic" w:hAnsi="Century Gothic"/>
          <w:sz w:val="20"/>
          <w:szCs w:val="20"/>
        </w:rPr>
        <w:t xml:space="preserve"> </w:t>
      </w:r>
      <w:r w:rsidR="00C86CC2" w:rsidRPr="006D6513">
        <w:rPr>
          <w:rFonts w:ascii="Century Gothic" w:hAnsi="Century Gothic"/>
          <w:i/>
          <w:sz w:val="20"/>
          <w:szCs w:val="20"/>
          <w:highlight w:val="yellow"/>
        </w:rPr>
        <w:t>[</w:t>
      </w:r>
      <w:r w:rsidR="00C86CC2" w:rsidRPr="006D6513">
        <w:rPr>
          <w:rStyle w:val="ui-provider"/>
          <w:rFonts w:ascii="Century Gothic" w:hAnsi="Century Gothic"/>
          <w:i/>
          <w:sz w:val="20"/>
          <w:szCs w:val="20"/>
          <w:highlight w:val="yellow"/>
        </w:rPr>
        <w:t xml:space="preserve">Insert details of grant, </w:t>
      </w:r>
      <w:r w:rsidR="00842653" w:rsidRPr="006D6513">
        <w:rPr>
          <w:rStyle w:val="ui-provider"/>
          <w:rFonts w:ascii="Century Gothic" w:hAnsi="Century Gothic"/>
          <w:i/>
          <w:sz w:val="20"/>
          <w:szCs w:val="20"/>
          <w:highlight w:val="yellow"/>
        </w:rPr>
        <w:t>e.g.</w:t>
      </w:r>
      <w:r w:rsidR="00C86CC2" w:rsidRPr="006D6513">
        <w:rPr>
          <w:rStyle w:val="ui-provider"/>
          <w:rFonts w:ascii="Century Gothic" w:hAnsi="Century Gothic"/>
          <w:i/>
          <w:sz w:val="20"/>
          <w:szCs w:val="20"/>
          <w:highlight w:val="yellow"/>
        </w:rPr>
        <w:t xml:space="preserve"> type, aims, who is involved]</w:t>
      </w:r>
      <w:r w:rsidR="0026615E" w:rsidRPr="006D6513">
        <w:rPr>
          <w:rStyle w:val="ui-provider"/>
          <w:rFonts w:ascii="Century Gothic" w:hAnsi="Century Gothic"/>
          <w:i/>
          <w:sz w:val="20"/>
          <w:szCs w:val="20"/>
          <w:highlight w:val="yellow"/>
        </w:rPr>
        <w:t>.</w:t>
      </w:r>
    </w:p>
    <w:p w14:paraId="69CC5D9C" w14:textId="77777777" w:rsidR="00D36689" w:rsidRPr="006D6513" w:rsidRDefault="00D36689" w:rsidP="00E950DD">
      <w:pPr>
        <w:pStyle w:val="Default"/>
        <w:rPr>
          <w:rFonts w:ascii="Century Gothic" w:hAnsi="Century Gothic"/>
          <w:sz w:val="20"/>
          <w:szCs w:val="20"/>
        </w:rPr>
      </w:pPr>
    </w:p>
    <w:p w14:paraId="72AD4FEA" w14:textId="5E4AF605" w:rsidR="00861DD3" w:rsidRPr="006D6513" w:rsidRDefault="006D530F" w:rsidP="00E950DD">
      <w:pPr>
        <w:pStyle w:val="Default"/>
        <w:rPr>
          <w:rFonts w:ascii="Century Gothic" w:hAnsi="Century Gothic"/>
          <w:sz w:val="20"/>
          <w:szCs w:val="20"/>
        </w:rPr>
      </w:pPr>
      <w:r w:rsidRPr="006D6513">
        <w:rPr>
          <w:rFonts w:ascii="Century Gothic" w:hAnsi="Century Gothic"/>
          <w:sz w:val="20"/>
          <w:szCs w:val="20"/>
        </w:rPr>
        <w:t xml:space="preserve">Supported by a Clinical &amp; Translational Science Award </w:t>
      </w:r>
      <w:r w:rsidR="0049164B" w:rsidRPr="006D6513">
        <w:rPr>
          <w:rFonts w:ascii="Century Gothic" w:hAnsi="Century Gothic"/>
          <w:sz w:val="20"/>
          <w:szCs w:val="20"/>
        </w:rPr>
        <w:t xml:space="preserve">(UM1TR00440) </w:t>
      </w:r>
      <w:r w:rsidRPr="006D6513">
        <w:rPr>
          <w:rFonts w:ascii="Century Gothic" w:hAnsi="Century Gothic"/>
          <w:sz w:val="20"/>
          <w:szCs w:val="20"/>
        </w:rPr>
        <w:t xml:space="preserve">through the National Center for Advancing Translational Science, the </w:t>
      </w:r>
      <w:r w:rsidR="00861DD3" w:rsidRPr="006D6513">
        <w:rPr>
          <w:rFonts w:ascii="Century Gothic" w:hAnsi="Century Gothic"/>
          <w:sz w:val="20"/>
          <w:szCs w:val="20"/>
        </w:rPr>
        <w:t xml:space="preserve">Utah </w:t>
      </w:r>
      <w:r w:rsidRPr="006D6513">
        <w:rPr>
          <w:rFonts w:ascii="Century Gothic" w:hAnsi="Century Gothic"/>
          <w:sz w:val="20"/>
          <w:szCs w:val="20"/>
        </w:rPr>
        <w:t>CTSI</w:t>
      </w:r>
      <w:r w:rsidR="00861DD3" w:rsidRPr="006D6513">
        <w:rPr>
          <w:rFonts w:ascii="Century Gothic" w:hAnsi="Century Gothic"/>
          <w:sz w:val="20"/>
          <w:szCs w:val="20"/>
        </w:rPr>
        <w:t xml:space="preserve"> </w:t>
      </w:r>
      <w:r w:rsidR="0026615E" w:rsidRPr="006D6513">
        <w:rPr>
          <w:rFonts w:ascii="Century Gothic" w:hAnsi="Century Gothic"/>
          <w:sz w:val="20"/>
          <w:szCs w:val="20"/>
        </w:rPr>
        <w:t xml:space="preserve">develops and applies generalizable and reproducible translational science innovations to increase the efficiency and effectiveness of research, and ultimately improve the health of our population—reducing health disparities and increasing equity. </w:t>
      </w:r>
      <w:r w:rsidR="00861DD3" w:rsidRPr="006D6513">
        <w:rPr>
          <w:rFonts w:ascii="Century Gothic" w:hAnsi="Century Gothic"/>
          <w:sz w:val="20"/>
          <w:szCs w:val="20"/>
        </w:rPr>
        <w:t>The success of the Utah CTSI, due in part to our established collaborations with the Veteran’s Affairs (VA) Salt Lake City Health Care System, the Utah Department of Health</w:t>
      </w:r>
      <w:r w:rsidR="00074314" w:rsidRPr="006D6513">
        <w:rPr>
          <w:rFonts w:ascii="Century Gothic" w:hAnsi="Century Gothic"/>
          <w:sz w:val="20"/>
          <w:szCs w:val="20"/>
        </w:rPr>
        <w:t xml:space="preserve"> and Human Services</w:t>
      </w:r>
      <w:r w:rsidR="00861DD3" w:rsidRPr="006D6513">
        <w:rPr>
          <w:rFonts w:ascii="Century Gothic" w:hAnsi="Century Gothic"/>
          <w:sz w:val="20"/>
          <w:szCs w:val="20"/>
        </w:rPr>
        <w:t xml:space="preserve">, </w:t>
      </w:r>
      <w:proofErr w:type="spellStart"/>
      <w:r w:rsidR="00861DD3" w:rsidRPr="006D6513">
        <w:rPr>
          <w:rFonts w:ascii="Century Gothic" w:hAnsi="Century Gothic"/>
          <w:sz w:val="20"/>
          <w:szCs w:val="20"/>
        </w:rPr>
        <w:t>Comagine</w:t>
      </w:r>
      <w:proofErr w:type="spellEnd"/>
      <w:r w:rsidR="00861DD3" w:rsidRPr="006D6513">
        <w:rPr>
          <w:rFonts w:ascii="Century Gothic" w:hAnsi="Century Gothic"/>
          <w:sz w:val="20"/>
          <w:szCs w:val="20"/>
        </w:rPr>
        <w:t xml:space="preserve">, Intermountain Health, </w:t>
      </w:r>
      <w:r w:rsidR="00AF0F49" w:rsidRPr="006D6513">
        <w:rPr>
          <w:rFonts w:ascii="Century Gothic" w:hAnsi="Century Gothic"/>
          <w:sz w:val="20"/>
          <w:szCs w:val="20"/>
        </w:rPr>
        <w:t>University of Nevada</w:t>
      </w:r>
      <w:r w:rsidR="00074314" w:rsidRPr="006D6513">
        <w:rPr>
          <w:rFonts w:ascii="Century Gothic" w:hAnsi="Century Gothic"/>
          <w:sz w:val="20"/>
          <w:szCs w:val="20"/>
        </w:rPr>
        <w:t>,</w:t>
      </w:r>
      <w:r w:rsidR="00AF0F49" w:rsidRPr="006D6513">
        <w:rPr>
          <w:rFonts w:ascii="Century Gothic" w:hAnsi="Century Gothic"/>
          <w:sz w:val="20"/>
          <w:szCs w:val="20"/>
        </w:rPr>
        <w:t xml:space="preserve"> Reno, the Association for Utah Community Health, </w:t>
      </w:r>
      <w:r w:rsidRPr="006D6513">
        <w:rPr>
          <w:rFonts w:ascii="Century Gothic" w:hAnsi="Century Gothic"/>
          <w:sz w:val="20"/>
          <w:szCs w:val="20"/>
        </w:rPr>
        <w:t xml:space="preserve">and Community Faces of Utah, </w:t>
      </w:r>
      <w:r w:rsidR="00861DD3" w:rsidRPr="006D6513">
        <w:rPr>
          <w:rFonts w:ascii="Century Gothic" w:hAnsi="Century Gothic"/>
          <w:sz w:val="20"/>
          <w:szCs w:val="20"/>
        </w:rPr>
        <w:t xml:space="preserve">allows us to provide multiple resources to enhance this strong research proposal. We are committed to providing you and your well-established research team full access to the Utah CTSI </w:t>
      </w:r>
      <w:r w:rsidR="0049164B" w:rsidRPr="006D6513">
        <w:rPr>
          <w:rFonts w:ascii="Century Gothic" w:hAnsi="Century Gothic"/>
          <w:sz w:val="20"/>
          <w:szCs w:val="20"/>
        </w:rPr>
        <w:t>facilities, resources, and collaborations.</w:t>
      </w:r>
    </w:p>
    <w:p w14:paraId="7DDFA7F5" w14:textId="3188A3C5" w:rsidR="00861DD3" w:rsidRPr="006D6513" w:rsidRDefault="00861DD3" w:rsidP="00E950DD">
      <w:pPr>
        <w:pStyle w:val="Default"/>
        <w:rPr>
          <w:rFonts w:ascii="Century Gothic" w:hAnsi="Century Gothic"/>
          <w:sz w:val="20"/>
          <w:szCs w:val="20"/>
        </w:rPr>
      </w:pPr>
    </w:p>
    <w:p w14:paraId="61FF8E89" w14:textId="7A1C5CB4" w:rsidR="0026615E" w:rsidRPr="006D6513" w:rsidRDefault="0026615E" w:rsidP="00E950DD">
      <w:pPr>
        <w:pStyle w:val="Default"/>
        <w:rPr>
          <w:rFonts w:ascii="Century Gothic" w:hAnsi="Century Gothic"/>
          <w:i/>
          <w:sz w:val="20"/>
          <w:szCs w:val="20"/>
        </w:rPr>
      </w:pPr>
      <w:r w:rsidRPr="006D6513">
        <w:rPr>
          <w:rFonts w:ascii="Century Gothic" w:hAnsi="Century Gothic"/>
          <w:i/>
          <w:sz w:val="20"/>
          <w:szCs w:val="20"/>
          <w:highlight w:val="yellow"/>
        </w:rPr>
        <w:t>[In the sections below, please keep or delete paragraphs depending on relevance to your proposal. In each remaining paragraph, please be sure to add a description of how you are leveraging the resource in your proposal].</w:t>
      </w:r>
    </w:p>
    <w:p w14:paraId="7E42FE02" w14:textId="77777777" w:rsidR="0026615E" w:rsidRPr="006D6513" w:rsidRDefault="0026615E" w:rsidP="00E950DD">
      <w:pPr>
        <w:pStyle w:val="Default"/>
        <w:rPr>
          <w:rFonts w:ascii="Century Gothic" w:hAnsi="Century Gothic"/>
          <w:sz w:val="20"/>
          <w:szCs w:val="20"/>
        </w:rPr>
      </w:pPr>
    </w:p>
    <w:p w14:paraId="04D92906" w14:textId="29C9BB47" w:rsidR="003402A9" w:rsidRPr="006D6513" w:rsidRDefault="003402A9" w:rsidP="003402A9">
      <w:pPr>
        <w:rPr>
          <w:sz w:val="20"/>
          <w:szCs w:val="20"/>
        </w:rPr>
      </w:pPr>
      <w:r w:rsidRPr="006D6513">
        <w:rPr>
          <w:sz w:val="20"/>
          <w:szCs w:val="20"/>
        </w:rPr>
        <w:t xml:space="preserve">The CTSI </w:t>
      </w:r>
      <w:r w:rsidRPr="006D6513">
        <w:rPr>
          <w:b/>
          <w:bCs/>
          <w:sz w:val="20"/>
          <w:szCs w:val="20"/>
        </w:rPr>
        <w:t>Biomedical Informatics Core (BMIC)</w:t>
      </w:r>
      <w:r w:rsidRPr="006D6513">
        <w:rPr>
          <w:sz w:val="20"/>
          <w:szCs w:val="20"/>
        </w:rPr>
        <w:t xml:space="preserve"> provides comprehensive informatics support, education, and innovation for clinical and translational research. BMIC collaboratively supports investigators with informatics design, data management (including REDCap &amp; </w:t>
      </w:r>
      <w:proofErr w:type="spellStart"/>
      <w:r w:rsidRPr="006D6513">
        <w:rPr>
          <w:sz w:val="20"/>
          <w:szCs w:val="20"/>
        </w:rPr>
        <w:t>OpenSpecimen</w:t>
      </w:r>
      <w:proofErr w:type="spellEnd"/>
      <w:r w:rsidRPr="006D6513">
        <w:rPr>
          <w:sz w:val="20"/>
          <w:szCs w:val="20"/>
        </w:rPr>
        <w:t xml:space="preserve">), data federation and integration, development of participant-centric tools for research engagement, access to large scale national health data and networks, recruitment tools, assimilation of environmental and social exposures with clinical data, software development, and advanced AI-based analytics. </w:t>
      </w:r>
      <w:r w:rsidR="00275AA8" w:rsidRPr="006D6513">
        <w:rPr>
          <w:sz w:val="20"/>
          <w:szCs w:val="20"/>
          <w:u w:val="single"/>
        </w:rPr>
        <w:t>Specific to this application, we intend to</w:t>
      </w:r>
      <w:r w:rsidR="00275AA8" w:rsidRPr="006D6513">
        <w:rPr>
          <w:sz w:val="20"/>
          <w:szCs w:val="20"/>
        </w:rPr>
        <w:t>:</w:t>
      </w:r>
    </w:p>
    <w:p w14:paraId="0B48B34A" w14:textId="77777777" w:rsidR="00E950DD" w:rsidRPr="006D6513" w:rsidRDefault="00E950DD" w:rsidP="00E950DD">
      <w:pPr>
        <w:pStyle w:val="Default"/>
        <w:rPr>
          <w:rFonts w:ascii="Century Gothic" w:hAnsi="Century Gothic"/>
          <w:sz w:val="20"/>
          <w:szCs w:val="20"/>
        </w:rPr>
      </w:pPr>
    </w:p>
    <w:p w14:paraId="682CDF08" w14:textId="5F4F3109" w:rsidR="006C523F" w:rsidRPr="006D6513" w:rsidRDefault="006C523F" w:rsidP="006C523F">
      <w:pPr>
        <w:rPr>
          <w:rFonts w:eastAsia="Times New Roman"/>
          <w:color w:val="000000"/>
          <w:sz w:val="20"/>
          <w:szCs w:val="20"/>
        </w:rPr>
      </w:pPr>
      <w:r w:rsidRPr="006D6513">
        <w:rPr>
          <w:rStyle w:val="contentpasted0"/>
          <w:rFonts w:eastAsia="Times New Roman" w:cs="Arial"/>
          <w:iCs/>
          <w:color w:val="000000"/>
          <w:sz w:val="20"/>
          <w:szCs w:val="20"/>
        </w:rPr>
        <w:t>The CTSI’s</w:t>
      </w:r>
      <w:r w:rsidRPr="006D6513">
        <w:rPr>
          <w:rStyle w:val="apple-converted-space"/>
          <w:rFonts w:eastAsia="Times New Roman" w:cs="Arial"/>
          <w:iCs/>
          <w:color w:val="000000"/>
          <w:sz w:val="20"/>
          <w:szCs w:val="20"/>
        </w:rPr>
        <w:t> </w:t>
      </w:r>
      <w:r w:rsidRPr="006D6513">
        <w:rPr>
          <w:rFonts w:eastAsia="Times New Roman" w:cs="Arial"/>
          <w:b/>
          <w:bCs/>
          <w:iCs/>
          <w:color w:val="000000"/>
          <w:sz w:val="20"/>
          <w:szCs w:val="20"/>
        </w:rPr>
        <w:t>Cellular Translational Research Core (CTRC)</w:t>
      </w:r>
      <w:r w:rsidRPr="006D6513">
        <w:rPr>
          <w:rStyle w:val="apple-converted-space"/>
          <w:rFonts w:eastAsia="Times New Roman" w:cs="Arial"/>
          <w:iCs/>
          <w:color w:val="000000"/>
          <w:sz w:val="20"/>
          <w:szCs w:val="20"/>
        </w:rPr>
        <w:t> </w:t>
      </w:r>
      <w:r w:rsidRPr="006D6513">
        <w:rPr>
          <w:rStyle w:val="contentpasted5"/>
          <w:rFonts w:eastAsia="Times New Roman" w:cs="Arial"/>
          <w:iCs/>
          <w:color w:val="000000"/>
          <w:sz w:val="20"/>
          <w:szCs w:val="20"/>
        </w:rPr>
        <w:t>supports clinical and translational research by </w:t>
      </w:r>
      <w:r w:rsidRPr="006D6513">
        <w:rPr>
          <w:rStyle w:val="contentpasted2"/>
          <w:rFonts w:eastAsia="Times New Roman" w:cs="Arial"/>
          <w:iCs/>
          <w:color w:val="000000"/>
          <w:sz w:val="20"/>
          <w:szCs w:val="20"/>
        </w:rPr>
        <w:t>processing of human bio</w:t>
      </w:r>
      <w:r w:rsidRPr="006D6513">
        <w:rPr>
          <w:rStyle w:val="contentpasted3"/>
          <w:rFonts w:eastAsia="Times New Roman" w:cs="Arial"/>
          <w:iCs/>
          <w:color w:val="000000"/>
          <w:sz w:val="20"/>
          <w:szCs w:val="20"/>
        </w:rPr>
        <w:t>specimens,</w:t>
      </w:r>
      <w:r w:rsidRPr="006D6513">
        <w:rPr>
          <w:rStyle w:val="apple-converted-space"/>
          <w:rFonts w:eastAsia="Times New Roman" w:cs="Arial"/>
          <w:iCs/>
          <w:color w:val="000000"/>
          <w:sz w:val="20"/>
          <w:szCs w:val="20"/>
        </w:rPr>
        <w:t> including PBMC, </w:t>
      </w:r>
      <w:r w:rsidRPr="006D6513">
        <w:rPr>
          <w:rFonts w:eastAsia="Times New Roman" w:cs="Arial"/>
          <w:iCs/>
          <w:color w:val="000000"/>
          <w:sz w:val="20"/>
          <w:szCs w:val="20"/>
        </w:rPr>
        <w:t>DNA, and RNA extraction, generating patient and CRISPR-engineered induced pluripotent stem cells, and providing biorepository services, including sample management, storage, and shipment.</w:t>
      </w:r>
      <w:r w:rsidR="00275AA8" w:rsidRPr="006D6513">
        <w:rPr>
          <w:sz w:val="20"/>
          <w:szCs w:val="20"/>
        </w:rPr>
        <w:t xml:space="preserve"> </w:t>
      </w:r>
      <w:r w:rsidR="00275AA8" w:rsidRPr="006D6513">
        <w:rPr>
          <w:sz w:val="20"/>
          <w:szCs w:val="20"/>
          <w:u w:val="single"/>
        </w:rPr>
        <w:t>Specific to this application, we intend to</w:t>
      </w:r>
      <w:r w:rsidR="00275AA8" w:rsidRPr="006D6513">
        <w:rPr>
          <w:sz w:val="20"/>
          <w:szCs w:val="20"/>
        </w:rPr>
        <w:t>:</w:t>
      </w:r>
    </w:p>
    <w:p w14:paraId="3C0A2D8C" w14:textId="77777777" w:rsidR="00E950DD" w:rsidRPr="006D6513" w:rsidRDefault="00E950DD" w:rsidP="00E950DD">
      <w:pPr>
        <w:pStyle w:val="Default"/>
        <w:rPr>
          <w:rFonts w:ascii="Century Gothic" w:hAnsi="Century Gothic"/>
          <w:sz w:val="20"/>
          <w:szCs w:val="20"/>
        </w:rPr>
      </w:pPr>
    </w:p>
    <w:p w14:paraId="26F684B1" w14:textId="77777777" w:rsidR="0009795B" w:rsidRDefault="00861DD3" w:rsidP="0009795B">
      <w:pPr>
        <w:rPr>
          <w:sz w:val="20"/>
          <w:szCs w:val="20"/>
        </w:rPr>
      </w:pPr>
      <w:r w:rsidRPr="006D6513">
        <w:rPr>
          <w:sz w:val="20"/>
          <w:szCs w:val="20"/>
        </w:rPr>
        <w:t xml:space="preserve">The CTSI’s </w:t>
      </w:r>
      <w:r w:rsidRPr="006D6513">
        <w:rPr>
          <w:b/>
          <w:sz w:val="20"/>
          <w:szCs w:val="20"/>
        </w:rPr>
        <w:t xml:space="preserve">Clinical Research Support Office </w:t>
      </w:r>
      <w:r w:rsidR="00E950DD" w:rsidRPr="006D6513">
        <w:rPr>
          <w:b/>
          <w:sz w:val="20"/>
          <w:szCs w:val="20"/>
        </w:rPr>
        <w:t>(CRSO)</w:t>
      </w:r>
      <w:r w:rsidR="00E950DD" w:rsidRPr="006D6513">
        <w:rPr>
          <w:sz w:val="20"/>
          <w:szCs w:val="20"/>
        </w:rPr>
        <w:t xml:space="preserve"> </w:t>
      </w:r>
      <w:r w:rsidRPr="006D6513">
        <w:rPr>
          <w:sz w:val="20"/>
          <w:szCs w:val="20"/>
        </w:rPr>
        <w:t xml:space="preserve">is the central hub to provide support across the lifecycle of a clinical research study. It enhances compliance, reduces administrative burdens, and helps remove barriers to enable efficiency, internal/external collaboration, cost recovery, and growth of clinical trials. CRSO provides navigation, tools, services, and training to support clinical research, and coordinates with existing departmental clinical research units. It is the administrative home for the clinical trial management system, </w:t>
      </w:r>
      <w:proofErr w:type="spellStart"/>
      <w:r w:rsidRPr="006D6513">
        <w:rPr>
          <w:sz w:val="20"/>
          <w:szCs w:val="20"/>
        </w:rPr>
        <w:t>OnCore</w:t>
      </w:r>
      <w:proofErr w:type="spellEnd"/>
      <w:r w:rsidRPr="006D6513">
        <w:rPr>
          <w:sz w:val="20"/>
          <w:szCs w:val="20"/>
        </w:rPr>
        <w:t>, as well as Epic Research. It provides IND/IDE support, central monitoring</w:t>
      </w:r>
      <w:r w:rsidR="006D530F" w:rsidRPr="006D6513">
        <w:rPr>
          <w:sz w:val="20"/>
          <w:szCs w:val="20"/>
        </w:rPr>
        <w:t>,</w:t>
      </w:r>
      <w:r w:rsidRPr="006D6513">
        <w:rPr>
          <w:sz w:val="20"/>
          <w:szCs w:val="20"/>
        </w:rPr>
        <w:t xml:space="preserve"> and quality assurance services. </w:t>
      </w:r>
      <w:r w:rsidR="00026E08" w:rsidRPr="006D6513">
        <w:rPr>
          <w:sz w:val="20"/>
          <w:szCs w:val="20"/>
        </w:rPr>
        <w:t xml:space="preserve">CRSO has developed a centralized training program, Clinical Research Staff Foundations, for entry-level clinical research staff at the University. </w:t>
      </w:r>
      <w:r w:rsidR="004463DC" w:rsidRPr="006D6513">
        <w:rPr>
          <w:sz w:val="20"/>
          <w:szCs w:val="20"/>
        </w:rPr>
        <w:t>Finally, CRSO works closely with a network of experts across the CTSI and University in CTSI Design Studios to support investigators in the development and optimization of clinical research projects.</w:t>
      </w:r>
      <w:r w:rsidR="00275AA8" w:rsidRPr="006D6513">
        <w:rPr>
          <w:sz w:val="20"/>
          <w:szCs w:val="20"/>
        </w:rPr>
        <w:t xml:space="preserve"> </w:t>
      </w:r>
      <w:r w:rsidR="00275AA8" w:rsidRPr="006D6513">
        <w:rPr>
          <w:sz w:val="20"/>
          <w:szCs w:val="20"/>
          <w:u w:val="single"/>
        </w:rPr>
        <w:t>Specific to this application, we intend to</w:t>
      </w:r>
      <w:r w:rsidR="0009795B">
        <w:rPr>
          <w:sz w:val="20"/>
          <w:szCs w:val="20"/>
        </w:rPr>
        <w:t>:</w:t>
      </w:r>
    </w:p>
    <w:p w14:paraId="6384FC0B" w14:textId="77777777" w:rsidR="0009795B" w:rsidRDefault="0009795B" w:rsidP="0009795B">
      <w:pPr>
        <w:rPr>
          <w:sz w:val="20"/>
          <w:szCs w:val="20"/>
        </w:rPr>
      </w:pPr>
    </w:p>
    <w:p w14:paraId="1AD855C6" w14:textId="5A4D5364" w:rsidR="000F136C" w:rsidRPr="0009795B" w:rsidRDefault="000F136C" w:rsidP="0009795B">
      <w:pPr>
        <w:rPr>
          <w:sz w:val="20"/>
          <w:szCs w:val="20"/>
        </w:rPr>
      </w:pPr>
      <w:bookmarkStart w:id="0" w:name="_GoBack"/>
      <w:bookmarkEnd w:id="0"/>
      <w:r w:rsidRPr="006D6513">
        <w:rPr>
          <w:sz w:val="20"/>
          <w:szCs w:val="20"/>
        </w:rPr>
        <w:t xml:space="preserve">The CTSI’s </w:t>
      </w:r>
      <w:r w:rsidRPr="006D6513">
        <w:rPr>
          <w:b/>
          <w:bCs/>
          <w:sz w:val="20"/>
          <w:szCs w:val="20"/>
        </w:rPr>
        <w:t>Clinical Research Unit (CRU)</w:t>
      </w:r>
      <w:r w:rsidRPr="006D6513">
        <w:rPr>
          <w:sz w:val="20"/>
          <w:szCs w:val="20"/>
        </w:rPr>
        <w:t xml:space="preserve"> provides expertise and resources to enhance the safety, quality, and efficiency of human subject clinical research. The CRU oversees clinical research space in our research Outpatient Clinic in Research Park and within the University Hospital and Clinics, and schedules flexible clinical research visits in a variety of settings on central medical campus or in the community.  CRU staff provide research nurse expertise to support the execution of clinical research protocols. </w:t>
      </w:r>
      <w:r w:rsidR="00D00AD4" w:rsidRPr="006D6513">
        <w:rPr>
          <w:sz w:val="20"/>
          <w:szCs w:val="20"/>
        </w:rPr>
        <w:t>CRU w</w:t>
      </w:r>
      <w:r w:rsidRPr="006D6513">
        <w:rPr>
          <w:sz w:val="20"/>
          <w:szCs w:val="20"/>
        </w:rPr>
        <w:t>ork</w:t>
      </w:r>
      <w:r w:rsidR="00D00AD4" w:rsidRPr="006D6513">
        <w:rPr>
          <w:sz w:val="20"/>
          <w:szCs w:val="20"/>
        </w:rPr>
        <w:t>s</w:t>
      </w:r>
      <w:r w:rsidRPr="006D6513">
        <w:rPr>
          <w:sz w:val="20"/>
          <w:szCs w:val="20"/>
        </w:rPr>
        <w:t xml:space="preserve"> with research teams to obtain desired outcomes/data, maintain research integrity, and provide participants with a safe, exceptional patient experience. The staff are trained to work with participants ranging in age from newborn infants through senior citizens.</w:t>
      </w:r>
      <w:r w:rsidR="00275AA8" w:rsidRPr="006D6513">
        <w:rPr>
          <w:sz w:val="20"/>
          <w:szCs w:val="20"/>
        </w:rPr>
        <w:t xml:space="preserve"> </w:t>
      </w:r>
      <w:r w:rsidR="00275AA8" w:rsidRPr="006D6513">
        <w:rPr>
          <w:sz w:val="20"/>
          <w:szCs w:val="20"/>
          <w:u w:val="single"/>
        </w:rPr>
        <w:t>Specific to this application, we intend to:</w:t>
      </w:r>
    </w:p>
    <w:p w14:paraId="4FB7191E" w14:textId="1B04A4D8" w:rsidR="00861DD3" w:rsidRPr="006D6513" w:rsidRDefault="00861DD3" w:rsidP="00E950DD">
      <w:pPr>
        <w:pStyle w:val="Default"/>
        <w:rPr>
          <w:rFonts w:ascii="Century Gothic" w:hAnsi="Century Gothic"/>
          <w:sz w:val="20"/>
          <w:szCs w:val="20"/>
        </w:rPr>
      </w:pPr>
    </w:p>
    <w:p w14:paraId="27FE1F50" w14:textId="32527D0D" w:rsidR="00275AA8" w:rsidRPr="006D6513" w:rsidRDefault="00E224E1" w:rsidP="00E224E1">
      <w:pPr>
        <w:autoSpaceDE w:val="0"/>
        <w:autoSpaceDN w:val="0"/>
        <w:rPr>
          <w:color w:val="000000"/>
          <w:sz w:val="20"/>
          <w:szCs w:val="20"/>
        </w:rPr>
      </w:pPr>
      <w:r w:rsidRPr="006D6513">
        <w:rPr>
          <w:color w:val="000000"/>
          <w:sz w:val="20"/>
          <w:szCs w:val="20"/>
        </w:rPr>
        <w:t xml:space="preserve">The CTSI’s </w:t>
      </w:r>
      <w:r w:rsidRPr="006D6513">
        <w:rPr>
          <w:b/>
          <w:bCs/>
          <w:color w:val="000000"/>
          <w:sz w:val="20"/>
          <w:szCs w:val="20"/>
        </w:rPr>
        <w:t>Community</w:t>
      </w:r>
      <w:r w:rsidRPr="006D6513">
        <w:rPr>
          <w:color w:val="000000"/>
          <w:sz w:val="20"/>
          <w:szCs w:val="20"/>
        </w:rPr>
        <w:t xml:space="preserve"> </w:t>
      </w:r>
      <w:r w:rsidRPr="006D6513">
        <w:rPr>
          <w:b/>
          <w:bCs/>
          <w:color w:val="000000"/>
          <w:sz w:val="20"/>
          <w:szCs w:val="20"/>
        </w:rPr>
        <w:t>Collaboration and Engagement Team (CCET)</w:t>
      </w:r>
      <w:r w:rsidRPr="006D6513">
        <w:rPr>
          <w:color w:val="000000"/>
          <w:sz w:val="20"/>
          <w:szCs w:val="20"/>
        </w:rPr>
        <w:t xml:space="preserve"> brings together and catalyzes community-academic partnerships, providing researchers with the tools and expertise to effectively engage patients, communities, and other partners across the research life cycle. By collaborating with and educating research teams about community-engaged practices, the CCET develops necessary resources to successfully involve diverse populations in research and ensure sustainable, equitable health outcomes.</w:t>
      </w:r>
      <w:r w:rsidR="00275AA8" w:rsidRPr="006D6513">
        <w:rPr>
          <w:color w:val="000000"/>
          <w:sz w:val="20"/>
          <w:szCs w:val="20"/>
        </w:rPr>
        <w:t xml:space="preserve"> </w:t>
      </w:r>
      <w:r w:rsidR="00275AA8" w:rsidRPr="006D6513">
        <w:rPr>
          <w:sz w:val="20"/>
          <w:szCs w:val="20"/>
          <w:u w:val="single"/>
        </w:rPr>
        <w:t>Specific to this application, we intend to:</w:t>
      </w:r>
    </w:p>
    <w:p w14:paraId="02E1E5FA" w14:textId="77777777" w:rsidR="00E950DD" w:rsidRPr="006D6513" w:rsidRDefault="00E950DD" w:rsidP="00E950DD">
      <w:pPr>
        <w:pStyle w:val="Default"/>
        <w:rPr>
          <w:rFonts w:ascii="Century Gothic" w:hAnsi="Century Gothic"/>
          <w:sz w:val="20"/>
          <w:szCs w:val="20"/>
        </w:rPr>
      </w:pPr>
    </w:p>
    <w:p w14:paraId="142CF1A2" w14:textId="6D863D39" w:rsidR="00E950DD" w:rsidRDefault="00E950DD" w:rsidP="00E950DD">
      <w:pPr>
        <w:pStyle w:val="Default"/>
        <w:tabs>
          <w:tab w:val="left" w:pos="5760"/>
        </w:tabs>
        <w:rPr>
          <w:rFonts w:ascii="Century Gothic" w:hAnsi="Century Gothic" w:cstheme="minorBidi"/>
          <w:color w:val="auto"/>
          <w:sz w:val="20"/>
          <w:szCs w:val="20"/>
          <w:u w:val="single"/>
        </w:rPr>
      </w:pPr>
      <w:r w:rsidRPr="006D6513">
        <w:rPr>
          <w:rFonts w:ascii="Century Gothic" w:hAnsi="Century Gothic"/>
          <w:sz w:val="20"/>
          <w:szCs w:val="20"/>
        </w:rPr>
        <w:t xml:space="preserve">The CTSI’s </w:t>
      </w:r>
      <w:r w:rsidRPr="006D6513">
        <w:rPr>
          <w:rFonts w:ascii="Century Gothic" w:hAnsi="Century Gothic"/>
          <w:b/>
          <w:sz w:val="20"/>
          <w:szCs w:val="20"/>
        </w:rPr>
        <w:t xml:space="preserve">Continuous quality Improvement, Tracking and Evaluation (CITE) </w:t>
      </w:r>
      <w:r w:rsidRPr="006D6513">
        <w:rPr>
          <w:rFonts w:ascii="Century Gothic" w:hAnsi="Century Gothic"/>
          <w:sz w:val="20"/>
          <w:szCs w:val="20"/>
        </w:rPr>
        <w:t xml:space="preserve">team works to provide measurements of program performance and outcomes both internally within the CTSI and its cores as well as on campus as a service. CITE uses the software platforms supported by the CTSI Biomedical Informatics Core (BMIC) to create innovative programmatic tracking and evaluation solutions. Services provided include: a) </w:t>
      </w:r>
      <w:r w:rsidR="00D00AD4" w:rsidRPr="006D6513">
        <w:rPr>
          <w:rFonts w:ascii="Century Gothic" w:hAnsi="Century Gothic"/>
          <w:sz w:val="20"/>
          <w:szCs w:val="20"/>
        </w:rPr>
        <w:t>p</w:t>
      </w:r>
      <w:r w:rsidRPr="006D6513">
        <w:rPr>
          <w:rFonts w:ascii="Century Gothic" w:hAnsi="Century Gothic"/>
          <w:sz w:val="20"/>
          <w:szCs w:val="20"/>
        </w:rPr>
        <w:t xml:space="preserve">rogram </w:t>
      </w:r>
      <w:r w:rsidR="00D00AD4" w:rsidRPr="006D6513">
        <w:rPr>
          <w:rFonts w:ascii="Century Gothic" w:hAnsi="Century Gothic"/>
          <w:sz w:val="20"/>
          <w:szCs w:val="20"/>
        </w:rPr>
        <w:t>e</w:t>
      </w:r>
      <w:r w:rsidRPr="006D6513">
        <w:rPr>
          <w:rFonts w:ascii="Century Gothic" w:hAnsi="Century Gothic"/>
          <w:sz w:val="20"/>
          <w:szCs w:val="20"/>
        </w:rPr>
        <w:t xml:space="preserve">valuation, b) </w:t>
      </w:r>
      <w:r w:rsidR="00D00AD4" w:rsidRPr="006D6513">
        <w:rPr>
          <w:rFonts w:ascii="Century Gothic" w:hAnsi="Century Gothic"/>
          <w:sz w:val="20"/>
          <w:szCs w:val="20"/>
        </w:rPr>
        <w:t>s</w:t>
      </w:r>
      <w:r w:rsidRPr="006D6513">
        <w:rPr>
          <w:rFonts w:ascii="Century Gothic" w:hAnsi="Century Gothic"/>
          <w:sz w:val="20"/>
          <w:szCs w:val="20"/>
        </w:rPr>
        <w:t xml:space="preserve">urvey </w:t>
      </w:r>
      <w:r w:rsidR="00D00AD4" w:rsidRPr="006D6513">
        <w:rPr>
          <w:rFonts w:ascii="Century Gothic" w:hAnsi="Century Gothic"/>
          <w:sz w:val="20"/>
          <w:szCs w:val="20"/>
        </w:rPr>
        <w:t>r</w:t>
      </w:r>
      <w:r w:rsidRPr="006D6513">
        <w:rPr>
          <w:rFonts w:ascii="Century Gothic" w:hAnsi="Century Gothic"/>
          <w:sz w:val="20"/>
          <w:szCs w:val="20"/>
        </w:rPr>
        <w:t xml:space="preserve">esearch and </w:t>
      </w:r>
      <w:r w:rsidR="00D00AD4" w:rsidRPr="006D6513">
        <w:rPr>
          <w:rFonts w:ascii="Century Gothic" w:hAnsi="Century Gothic"/>
          <w:sz w:val="20"/>
          <w:szCs w:val="20"/>
        </w:rPr>
        <w:t>a</w:t>
      </w:r>
      <w:r w:rsidRPr="006D6513">
        <w:rPr>
          <w:rFonts w:ascii="Century Gothic" w:hAnsi="Century Gothic"/>
          <w:sz w:val="20"/>
          <w:szCs w:val="20"/>
        </w:rPr>
        <w:t xml:space="preserve">dministration, c) </w:t>
      </w:r>
      <w:r w:rsidR="00D00AD4" w:rsidRPr="006D6513">
        <w:rPr>
          <w:rFonts w:ascii="Century Gothic" w:hAnsi="Century Gothic"/>
          <w:sz w:val="20"/>
          <w:szCs w:val="20"/>
        </w:rPr>
        <w:t>d</w:t>
      </w:r>
      <w:r w:rsidRPr="006D6513">
        <w:rPr>
          <w:rFonts w:ascii="Century Gothic" w:hAnsi="Century Gothic"/>
          <w:sz w:val="20"/>
          <w:szCs w:val="20"/>
        </w:rPr>
        <w:t xml:space="preserve">ashboard </w:t>
      </w:r>
      <w:r w:rsidR="00D00AD4" w:rsidRPr="006D6513">
        <w:rPr>
          <w:rFonts w:ascii="Century Gothic" w:hAnsi="Century Gothic"/>
          <w:sz w:val="20"/>
          <w:szCs w:val="20"/>
        </w:rPr>
        <w:t>d</w:t>
      </w:r>
      <w:r w:rsidRPr="006D6513">
        <w:rPr>
          <w:rFonts w:ascii="Century Gothic" w:hAnsi="Century Gothic"/>
          <w:sz w:val="20"/>
          <w:szCs w:val="20"/>
        </w:rPr>
        <w:t xml:space="preserve">evelopment and d) </w:t>
      </w:r>
      <w:r w:rsidR="00D00AD4" w:rsidRPr="006D6513">
        <w:rPr>
          <w:rFonts w:ascii="Century Gothic" w:hAnsi="Century Gothic"/>
          <w:sz w:val="20"/>
          <w:szCs w:val="20"/>
        </w:rPr>
        <w:t>d</w:t>
      </w:r>
      <w:r w:rsidRPr="006D6513">
        <w:rPr>
          <w:rFonts w:ascii="Century Gothic" w:hAnsi="Century Gothic"/>
          <w:sz w:val="20"/>
          <w:szCs w:val="20"/>
        </w:rPr>
        <w:t xml:space="preserve">ata </w:t>
      </w:r>
      <w:r w:rsidR="00D00AD4" w:rsidRPr="006D6513">
        <w:rPr>
          <w:rFonts w:ascii="Century Gothic" w:hAnsi="Century Gothic"/>
          <w:sz w:val="20"/>
          <w:szCs w:val="20"/>
        </w:rPr>
        <w:t>a</w:t>
      </w:r>
      <w:r w:rsidRPr="006D6513">
        <w:rPr>
          <w:rFonts w:ascii="Century Gothic" w:hAnsi="Century Gothic"/>
          <w:sz w:val="20"/>
          <w:szCs w:val="20"/>
        </w:rPr>
        <w:t xml:space="preserve">nalytics and </w:t>
      </w:r>
      <w:r w:rsidR="00D00AD4" w:rsidRPr="006D6513">
        <w:rPr>
          <w:rFonts w:ascii="Century Gothic" w:hAnsi="Century Gothic"/>
          <w:sz w:val="20"/>
          <w:szCs w:val="20"/>
        </w:rPr>
        <w:t>r</w:t>
      </w:r>
      <w:r w:rsidRPr="006D6513">
        <w:rPr>
          <w:rFonts w:ascii="Century Gothic" w:hAnsi="Century Gothic"/>
          <w:sz w:val="20"/>
          <w:szCs w:val="20"/>
        </w:rPr>
        <w:t xml:space="preserve">eporting. </w:t>
      </w:r>
      <w:r w:rsidR="00275AA8" w:rsidRPr="006D6513">
        <w:rPr>
          <w:rFonts w:ascii="Century Gothic" w:hAnsi="Century Gothic" w:cstheme="minorBidi"/>
          <w:color w:val="auto"/>
          <w:sz w:val="20"/>
          <w:szCs w:val="20"/>
          <w:u w:val="single"/>
        </w:rPr>
        <w:t>Specific to this application, we intend to:</w:t>
      </w:r>
    </w:p>
    <w:p w14:paraId="51E7AA9E" w14:textId="77777777" w:rsidR="0009795B" w:rsidRPr="006D6513" w:rsidRDefault="0009795B" w:rsidP="00E950DD">
      <w:pPr>
        <w:pStyle w:val="Default"/>
        <w:tabs>
          <w:tab w:val="left" w:pos="5760"/>
        </w:tabs>
        <w:rPr>
          <w:rFonts w:ascii="Century Gothic" w:hAnsi="Century Gothic"/>
          <w:sz w:val="20"/>
          <w:szCs w:val="20"/>
        </w:rPr>
      </w:pPr>
    </w:p>
    <w:p w14:paraId="7FD50979" w14:textId="65A4CA88" w:rsidR="0082615F" w:rsidRPr="006D6513" w:rsidRDefault="0082615F" w:rsidP="0082615F">
      <w:pPr>
        <w:pStyle w:val="Default"/>
        <w:rPr>
          <w:rFonts w:ascii="Century Gothic" w:hAnsi="Century Gothic" w:cstheme="minorBidi"/>
          <w:color w:val="auto"/>
          <w:sz w:val="20"/>
          <w:szCs w:val="20"/>
          <w:u w:val="single"/>
        </w:rPr>
      </w:pPr>
      <w:r w:rsidRPr="006D6513">
        <w:rPr>
          <w:rFonts w:ascii="Century Gothic" w:hAnsi="Century Gothic"/>
          <w:sz w:val="20"/>
          <w:szCs w:val="20"/>
        </w:rPr>
        <w:t xml:space="preserve">The CTSI’s </w:t>
      </w:r>
      <w:r w:rsidRPr="006D6513">
        <w:rPr>
          <w:rFonts w:ascii="Century Gothic" w:hAnsi="Century Gothic"/>
          <w:b/>
          <w:bCs/>
          <w:sz w:val="20"/>
          <w:szCs w:val="20"/>
        </w:rPr>
        <w:t xml:space="preserve">Practice Engagement and Translation (PET) </w:t>
      </w:r>
      <w:r w:rsidRPr="006D6513">
        <w:rPr>
          <w:rFonts w:ascii="Century Gothic" w:hAnsi="Century Gothic"/>
          <w:sz w:val="20"/>
          <w:szCs w:val="20"/>
        </w:rPr>
        <w:t xml:space="preserve">team facilitates late-stage translational research in community healthcare systems and practices, and in population-based public health settings, with a focus on reaching historically marginalized populations and addressing health equity. PET supports team science addressing the development, evaluation, implementation, and dissemination of evidence-based interventions in community practice and public health settings. </w:t>
      </w:r>
      <w:r w:rsidR="00275AA8" w:rsidRPr="006D6513">
        <w:rPr>
          <w:rFonts w:ascii="Century Gothic" w:hAnsi="Century Gothic" w:cstheme="minorBidi"/>
          <w:color w:val="auto"/>
          <w:sz w:val="20"/>
          <w:szCs w:val="20"/>
          <w:u w:val="single"/>
        </w:rPr>
        <w:t>Specific to this application, we intend to:</w:t>
      </w:r>
    </w:p>
    <w:p w14:paraId="1C34A067" w14:textId="77777777" w:rsidR="00E950DD" w:rsidRPr="006D6513" w:rsidRDefault="00E950DD" w:rsidP="00E950DD">
      <w:pPr>
        <w:pStyle w:val="Default"/>
        <w:tabs>
          <w:tab w:val="left" w:pos="5760"/>
        </w:tabs>
        <w:rPr>
          <w:rFonts w:ascii="Century Gothic" w:hAnsi="Century Gothic"/>
          <w:sz w:val="20"/>
          <w:szCs w:val="20"/>
        </w:rPr>
      </w:pPr>
    </w:p>
    <w:p w14:paraId="3E4B79F4" w14:textId="49C8BE03" w:rsidR="00861DD3" w:rsidRPr="006D6513" w:rsidRDefault="00861DD3" w:rsidP="006D6513">
      <w:pPr>
        <w:pStyle w:val="Default"/>
        <w:rPr>
          <w:rFonts w:ascii="Century Gothic" w:hAnsi="Century Gothic" w:cstheme="minorBidi"/>
          <w:color w:val="auto"/>
          <w:sz w:val="20"/>
          <w:szCs w:val="20"/>
          <w:u w:val="single"/>
        </w:rPr>
      </w:pPr>
      <w:r w:rsidRPr="006D6513">
        <w:rPr>
          <w:rFonts w:ascii="Century Gothic" w:hAnsi="Century Gothic"/>
          <w:sz w:val="20"/>
          <w:szCs w:val="20"/>
        </w:rPr>
        <w:t xml:space="preserve">The CTSI’s </w:t>
      </w:r>
      <w:r w:rsidRPr="006D6513">
        <w:rPr>
          <w:rFonts w:ascii="Century Gothic" w:hAnsi="Century Gothic"/>
          <w:b/>
          <w:sz w:val="20"/>
          <w:szCs w:val="20"/>
        </w:rPr>
        <w:t xml:space="preserve">Translational Research: Implementation, </w:t>
      </w:r>
      <w:r w:rsidR="007049E6" w:rsidRPr="006D6513">
        <w:rPr>
          <w:rFonts w:ascii="Century Gothic" w:hAnsi="Century Gothic"/>
          <w:b/>
          <w:sz w:val="20"/>
          <w:szCs w:val="20"/>
        </w:rPr>
        <w:t>Analysis, and Design</w:t>
      </w:r>
      <w:r w:rsidRPr="006D6513">
        <w:rPr>
          <w:rFonts w:ascii="Century Gothic" w:hAnsi="Century Gothic"/>
          <w:b/>
          <w:sz w:val="20"/>
          <w:szCs w:val="20"/>
        </w:rPr>
        <w:t xml:space="preserve"> (TRIAD) </w:t>
      </w:r>
      <w:r w:rsidR="00920E7E" w:rsidRPr="006D6513">
        <w:rPr>
          <w:rFonts w:ascii="Century Gothic" w:hAnsi="Century Gothic"/>
          <w:sz w:val="20"/>
          <w:szCs w:val="20"/>
        </w:rPr>
        <w:t>t</w:t>
      </w:r>
      <w:r w:rsidRPr="006D6513">
        <w:rPr>
          <w:rFonts w:ascii="Century Gothic" w:hAnsi="Century Gothic"/>
          <w:sz w:val="20"/>
          <w:szCs w:val="20"/>
        </w:rPr>
        <w:t xml:space="preserve">eam provides methodological and data analytic support </w:t>
      </w:r>
      <w:r w:rsidR="006D530F" w:rsidRPr="006D6513">
        <w:rPr>
          <w:rFonts w:ascii="Century Gothic" w:hAnsi="Century Gothic"/>
          <w:sz w:val="20"/>
          <w:szCs w:val="20"/>
        </w:rPr>
        <w:t xml:space="preserve">through </w:t>
      </w:r>
      <w:r w:rsidR="005376DE" w:rsidRPr="006D6513">
        <w:rPr>
          <w:rFonts w:ascii="Century Gothic" w:hAnsi="Century Gothic"/>
          <w:sz w:val="20"/>
          <w:szCs w:val="20"/>
        </w:rPr>
        <w:t xml:space="preserve">seven </w:t>
      </w:r>
      <w:r w:rsidR="006D530F" w:rsidRPr="006D6513">
        <w:rPr>
          <w:rFonts w:ascii="Century Gothic" w:hAnsi="Century Gothic"/>
          <w:sz w:val="20"/>
          <w:szCs w:val="20"/>
        </w:rPr>
        <w:t xml:space="preserve">integrated cores </w:t>
      </w:r>
      <w:r w:rsidRPr="006D6513">
        <w:rPr>
          <w:rFonts w:ascii="Century Gothic" w:hAnsi="Century Gothic"/>
          <w:sz w:val="20"/>
          <w:szCs w:val="20"/>
        </w:rPr>
        <w:t xml:space="preserve">to investigators looking to perform research seeking to improve the </w:t>
      </w:r>
      <w:r w:rsidRPr="006D6513">
        <w:rPr>
          <w:rFonts w:ascii="Century Gothic" w:hAnsi="Century Gothic"/>
          <w:color w:val="auto"/>
          <w:sz w:val="20"/>
          <w:szCs w:val="20"/>
        </w:rPr>
        <w:t xml:space="preserve">health of patient populations. TRIAD provides expert collaborations on study design, statistical analysis, and interpretation of results to support clinical and translational research. </w:t>
      </w:r>
      <w:r w:rsidR="006D530F" w:rsidRPr="006D6513">
        <w:rPr>
          <w:rFonts w:ascii="Century Gothic" w:hAnsi="Century Gothic"/>
          <w:color w:val="auto"/>
          <w:sz w:val="20"/>
          <w:szCs w:val="20"/>
        </w:rPr>
        <w:t>Its cores include</w:t>
      </w:r>
      <w:r w:rsidR="005764A1" w:rsidRPr="006D6513">
        <w:rPr>
          <w:rFonts w:ascii="Century Gothic" w:hAnsi="Century Gothic"/>
          <w:color w:val="auto"/>
          <w:sz w:val="20"/>
          <w:szCs w:val="20"/>
        </w:rPr>
        <w:t>,</w:t>
      </w:r>
      <w:r w:rsidR="006D530F" w:rsidRPr="006D6513">
        <w:rPr>
          <w:rFonts w:ascii="Century Gothic" w:hAnsi="Century Gothic"/>
          <w:color w:val="auto"/>
          <w:sz w:val="20"/>
          <w:szCs w:val="20"/>
        </w:rPr>
        <w:t xml:space="preserve"> </w:t>
      </w:r>
      <w:r w:rsidR="00AA405F" w:rsidRPr="006D6513">
        <w:rPr>
          <w:rFonts w:ascii="Century Gothic" w:hAnsi="Century Gothic"/>
          <w:color w:val="auto"/>
          <w:sz w:val="20"/>
          <w:szCs w:val="20"/>
        </w:rPr>
        <w:t xml:space="preserve">the Study Design and Biostatistics Center, the Qualitative Core, the Health Economics Core, the </w:t>
      </w:r>
      <w:r w:rsidR="00711C10" w:rsidRPr="006D6513">
        <w:rPr>
          <w:rFonts w:ascii="Century Gothic" w:hAnsi="Century Gothic"/>
          <w:color w:val="auto"/>
          <w:sz w:val="20"/>
          <w:szCs w:val="20"/>
        </w:rPr>
        <w:t>Survey Design and Measurement Core</w:t>
      </w:r>
      <w:r w:rsidR="00AA405F" w:rsidRPr="006D6513">
        <w:rPr>
          <w:rFonts w:ascii="Century Gothic" w:hAnsi="Century Gothic"/>
          <w:color w:val="auto"/>
          <w:sz w:val="20"/>
          <w:szCs w:val="20"/>
        </w:rPr>
        <w:t xml:space="preserve">, </w:t>
      </w:r>
      <w:r w:rsidR="00EE6C3E" w:rsidRPr="006D6513">
        <w:rPr>
          <w:rFonts w:ascii="Century Gothic" w:hAnsi="Century Gothic"/>
          <w:color w:val="auto"/>
          <w:sz w:val="20"/>
          <w:szCs w:val="20"/>
        </w:rPr>
        <w:t xml:space="preserve">the Systematic Review Core, </w:t>
      </w:r>
      <w:r w:rsidR="00AA405F" w:rsidRPr="006D6513">
        <w:rPr>
          <w:rFonts w:ascii="Century Gothic" w:hAnsi="Century Gothic"/>
          <w:color w:val="auto"/>
          <w:sz w:val="20"/>
          <w:szCs w:val="20"/>
        </w:rPr>
        <w:t>the Cancer Biostatistics Core</w:t>
      </w:r>
      <w:r w:rsidR="005376DE" w:rsidRPr="006D6513">
        <w:rPr>
          <w:rFonts w:ascii="Century Gothic" w:hAnsi="Century Gothic"/>
          <w:color w:val="auto"/>
          <w:sz w:val="20"/>
          <w:szCs w:val="20"/>
        </w:rPr>
        <w:t>, and the Dissemination &amp; Implementation Science Core</w:t>
      </w:r>
      <w:r w:rsidR="00D00AD4" w:rsidRPr="006D6513">
        <w:rPr>
          <w:rFonts w:ascii="Century Gothic" w:hAnsi="Century Gothic"/>
          <w:color w:val="auto"/>
          <w:sz w:val="20"/>
          <w:szCs w:val="20"/>
        </w:rPr>
        <w:t>.</w:t>
      </w:r>
      <w:r w:rsidR="00275AA8" w:rsidRPr="006D6513">
        <w:rPr>
          <w:rFonts w:ascii="Century Gothic" w:hAnsi="Century Gothic"/>
          <w:color w:val="auto"/>
          <w:sz w:val="20"/>
          <w:szCs w:val="20"/>
        </w:rPr>
        <w:t xml:space="preserve"> </w:t>
      </w:r>
      <w:r w:rsidR="00275AA8" w:rsidRPr="006D6513">
        <w:rPr>
          <w:rFonts w:ascii="Century Gothic" w:hAnsi="Century Gothic" w:cstheme="minorBidi"/>
          <w:color w:val="auto"/>
          <w:sz w:val="20"/>
          <w:szCs w:val="20"/>
          <w:u w:val="single"/>
        </w:rPr>
        <w:t>Specific to this application, we intend to:</w:t>
      </w:r>
    </w:p>
    <w:p w14:paraId="07C1A8E2" w14:textId="77777777" w:rsidR="00861DD3" w:rsidRPr="006D6513" w:rsidRDefault="00861DD3" w:rsidP="00E950DD">
      <w:pPr>
        <w:pStyle w:val="Default"/>
        <w:rPr>
          <w:rFonts w:ascii="Century Gothic" w:hAnsi="Century Gothic"/>
          <w:color w:val="auto"/>
          <w:sz w:val="20"/>
          <w:szCs w:val="20"/>
        </w:rPr>
      </w:pPr>
    </w:p>
    <w:p w14:paraId="1BB453ED" w14:textId="7854A9EA" w:rsidR="00275AA8" w:rsidRPr="006D6513" w:rsidRDefault="004D2191" w:rsidP="004D2191">
      <w:pPr>
        <w:tabs>
          <w:tab w:val="left" w:pos="6120"/>
        </w:tabs>
        <w:rPr>
          <w:rFonts w:eastAsia="Calibri" w:cs="Times New Roman"/>
          <w:sz w:val="20"/>
          <w:szCs w:val="20"/>
        </w:rPr>
      </w:pPr>
      <w:r w:rsidRPr="006D6513">
        <w:rPr>
          <w:rFonts w:eastAsia="Calibri" w:cs="Times New Roman"/>
          <w:sz w:val="20"/>
          <w:szCs w:val="20"/>
        </w:rPr>
        <w:t xml:space="preserve">The CTSI's collaboration with the UU Vice President for Research's </w:t>
      </w:r>
      <w:r w:rsidRPr="006D6513">
        <w:rPr>
          <w:rFonts w:eastAsia="Calibri" w:cs="Times New Roman"/>
          <w:b/>
          <w:sz w:val="20"/>
          <w:szCs w:val="20"/>
        </w:rPr>
        <w:t>Office of Research Participant Advocacy (ORPA)</w:t>
      </w:r>
      <w:r w:rsidRPr="006D6513">
        <w:rPr>
          <w:rFonts w:eastAsia="Calibri" w:cs="Times New Roman"/>
          <w:sz w:val="20"/>
          <w:szCs w:val="20"/>
        </w:rPr>
        <w:t xml:space="preserve"> helps to facilitate participant interactions so that they are more efficient, effective, and safer, and language access support for non-English speaking participants. ORPA is the liaison between research participants, researchers, and regulatory bodies, including the IRB. The ORPA provides comprehensive translation and interpretation services (currently supporting 60 languages), focusing on participants' comprehension. The office also supports and educates investigators and their teams on current best practices working with underserved and underrepresented community members</w:t>
      </w:r>
      <w:r w:rsidR="00D00AD4" w:rsidRPr="006D6513">
        <w:rPr>
          <w:rFonts w:eastAsia="Calibri" w:cs="Times New Roman"/>
          <w:sz w:val="20"/>
          <w:szCs w:val="20"/>
        </w:rPr>
        <w:t xml:space="preserve"> and</w:t>
      </w:r>
      <w:r w:rsidRPr="006D6513">
        <w:rPr>
          <w:rFonts w:eastAsia="Calibri" w:cs="Times New Roman"/>
          <w:sz w:val="20"/>
          <w:szCs w:val="20"/>
        </w:rPr>
        <w:t xml:space="preserve"> assists with developing recruitment strategies to ensure equitable access and opportunity to research. </w:t>
      </w:r>
      <w:r w:rsidR="00275AA8" w:rsidRPr="006D6513">
        <w:rPr>
          <w:sz w:val="20"/>
          <w:szCs w:val="20"/>
          <w:u w:val="single"/>
        </w:rPr>
        <w:t>Specific to this application, we intend to:</w:t>
      </w:r>
    </w:p>
    <w:p w14:paraId="4CEC9AC3" w14:textId="77777777" w:rsidR="0049164B" w:rsidRPr="006D6513" w:rsidRDefault="0049164B" w:rsidP="00E950DD">
      <w:pPr>
        <w:tabs>
          <w:tab w:val="left" w:pos="6120"/>
        </w:tabs>
        <w:rPr>
          <w:rFonts w:eastAsia="Calibri" w:cs="Times New Roman"/>
          <w:sz w:val="20"/>
          <w:szCs w:val="20"/>
        </w:rPr>
      </w:pPr>
    </w:p>
    <w:p w14:paraId="5D89BC50" w14:textId="240A7B28" w:rsidR="00275AA8" w:rsidRPr="006D6513" w:rsidRDefault="009C7DFC" w:rsidP="006D6513">
      <w:pPr>
        <w:tabs>
          <w:tab w:val="left" w:pos="6120"/>
        </w:tabs>
        <w:rPr>
          <w:sz w:val="20"/>
          <w:szCs w:val="20"/>
        </w:rPr>
      </w:pPr>
      <w:r w:rsidRPr="006D6513">
        <w:rPr>
          <w:rFonts w:eastAsia="Calibri" w:cs="Times New Roman"/>
          <w:sz w:val="20"/>
          <w:szCs w:val="20"/>
        </w:rPr>
        <w:t>The CTSI also collaborates with the</w:t>
      </w:r>
      <w:r w:rsidR="00E950DD" w:rsidRPr="006D6513">
        <w:rPr>
          <w:rFonts w:eastAsia="Calibri" w:cs="Times New Roman"/>
          <w:sz w:val="20"/>
          <w:szCs w:val="20"/>
        </w:rPr>
        <w:t xml:space="preserve"> </w:t>
      </w:r>
      <w:r w:rsidR="00EE6C3E" w:rsidRPr="006D6513">
        <w:rPr>
          <w:rFonts w:eastAsia="Calibri" w:cs="Times New Roman"/>
          <w:sz w:val="20"/>
          <w:szCs w:val="20"/>
        </w:rPr>
        <w:t xml:space="preserve">UU Vice President for Research </w:t>
      </w:r>
      <w:r w:rsidRPr="006D6513">
        <w:rPr>
          <w:rFonts w:eastAsia="Calibri" w:cs="Times New Roman"/>
          <w:sz w:val="20"/>
          <w:szCs w:val="20"/>
        </w:rPr>
        <w:t xml:space="preserve">though the </w:t>
      </w:r>
      <w:r w:rsidR="00EE6C3E" w:rsidRPr="006D6513">
        <w:rPr>
          <w:rFonts w:eastAsia="Calibri" w:cs="Times New Roman"/>
          <w:b/>
          <w:sz w:val="20"/>
          <w:szCs w:val="20"/>
        </w:rPr>
        <w:t>Research Ethics Service (RES)</w:t>
      </w:r>
      <w:r w:rsidRPr="006D6513">
        <w:rPr>
          <w:rFonts w:eastAsia="Calibri" w:cs="Times New Roman"/>
          <w:sz w:val="20"/>
          <w:szCs w:val="20"/>
        </w:rPr>
        <w:t xml:space="preserve">. </w:t>
      </w:r>
      <w:r w:rsidR="00E82482" w:rsidRPr="006D6513">
        <w:rPr>
          <w:rFonts w:eastAsia="Calibri" w:cs="Times New Roman"/>
          <w:sz w:val="20"/>
          <w:szCs w:val="20"/>
        </w:rPr>
        <w:t>RES provides formal training, educational materials, and consult</w:t>
      </w:r>
      <w:r w:rsidR="00AF0F49" w:rsidRPr="006D6513">
        <w:rPr>
          <w:rFonts w:eastAsia="Calibri" w:cs="Times New Roman"/>
          <w:sz w:val="20"/>
          <w:szCs w:val="20"/>
        </w:rPr>
        <w:t>at</w:t>
      </w:r>
      <w:r w:rsidR="00E82482" w:rsidRPr="006D6513">
        <w:rPr>
          <w:rFonts w:eastAsia="Calibri" w:cs="Times New Roman"/>
          <w:sz w:val="20"/>
          <w:szCs w:val="20"/>
        </w:rPr>
        <w:t xml:space="preserve">ive services to promote scientific integrity, rigor, and the responsible conduct of research across the institution. </w:t>
      </w:r>
      <w:r w:rsidR="00275AA8" w:rsidRPr="006D6513">
        <w:rPr>
          <w:sz w:val="20"/>
          <w:szCs w:val="20"/>
        </w:rPr>
        <w:t>Specific to this application, we intend to:</w:t>
      </w:r>
    </w:p>
    <w:p w14:paraId="2EDF9A0E" w14:textId="77777777" w:rsidR="00275AA8" w:rsidRPr="006D6513" w:rsidRDefault="00275AA8" w:rsidP="00E950DD">
      <w:pPr>
        <w:tabs>
          <w:tab w:val="left" w:pos="6120"/>
        </w:tabs>
        <w:rPr>
          <w:rFonts w:eastAsia="Calibri" w:cs="Times New Roman"/>
          <w:sz w:val="20"/>
          <w:szCs w:val="20"/>
        </w:rPr>
      </w:pPr>
    </w:p>
    <w:p w14:paraId="6BB7AE6E" w14:textId="70441AC3" w:rsidR="00483FB0" w:rsidRPr="006D6513" w:rsidRDefault="00317B55" w:rsidP="004463DC">
      <w:pPr>
        <w:pStyle w:val="Default"/>
        <w:rPr>
          <w:rFonts w:ascii="Century Gothic" w:hAnsi="Century Gothic" w:cstheme="minorBidi"/>
          <w:color w:val="auto"/>
          <w:sz w:val="20"/>
          <w:szCs w:val="20"/>
          <w:u w:val="single"/>
        </w:rPr>
      </w:pPr>
      <w:r w:rsidRPr="006D6513">
        <w:rPr>
          <w:rFonts w:ascii="Century Gothic" w:hAnsi="Century Gothic" w:cs="Calibri Light"/>
          <w:sz w:val="20"/>
          <w:szCs w:val="20"/>
        </w:rPr>
        <w:t xml:space="preserve">The CTSI’s </w:t>
      </w:r>
      <w:r w:rsidRPr="006D6513">
        <w:rPr>
          <w:rFonts w:ascii="Century Gothic" w:hAnsi="Century Gothic" w:cs="Calibri Light"/>
          <w:b/>
          <w:bCs/>
          <w:sz w:val="20"/>
          <w:szCs w:val="20"/>
        </w:rPr>
        <w:t xml:space="preserve">Workforce Development </w:t>
      </w:r>
      <w:r w:rsidRPr="006D6513">
        <w:rPr>
          <w:rFonts w:ascii="Century Gothic" w:hAnsi="Century Gothic" w:cs="Calibri Light"/>
          <w:sz w:val="20"/>
          <w:szCs w:val="20"/>
        </w:rPr>
        <w:t xml:space="preserve">programs supports the training needs of a diverse workforce. It offers a </w:t>
      </w:r>
      <w:r w:rsidRPr="006D6513">
        <w:rPr>
          <w:rFonts w:ascii="Century Gothic" w:hAnsi="Century Gothic" w:cs="Calibri Light"/>
          <w:b/>
          <w:bCs/>
          <w:sz w:val="20"/>
          <w:szCs w:val="20"/>
        </w:rPr>
        <w:t>Master of Science in Clinical Investigation (MSCI)</w:t>
      </w:r>
      <w:r w:rsidRPr="006D6513">
        <w:rPr>
          <w:rFonts w:ascii="Century Gothic" w:hAnsi="Century Gothic" w:cs="Calibri Light"/>
          <w:sz w:val="20"/>
          <w:szCs w:val="20"/>
        </w:rPr>
        <w:t xml:space="preserve"> program that brings together a modular didactic curriculum that can be customized based on trainees' interests. Course curriculum has been designed to </w:t>
      </w:r>
      <w:r w:rsidR="0026615E" w:rsidRPr="006D6513">
        <w:rPr>
          <w:rFonts w:ascii="Century Gothic" w:hAnsi="Century Gothic" w:cs="Calibri Light"/>
          <w:sz w:val="20"/>
          <w:szCs w:val="20"/>
        </w:rPr>
        <w:t xml:space="preserve">build competencies </w:t>
      </w:r>
      <w:r w:rsidRPr="006D6513">
        <w:rPr>
          <w:rFonts w:ascii="Century Gothic" w:hAnsi="Century Gothic" w:cs="Calibri Light"/>
          <w:sz w:val="20"/>
          <w:szCs w:val="20"/>
        </w:rPr>
        <w:t xml:space="preserve">across the translational spectrum of research, including clinical trials design and analysis, </w:t>
      </w:r>
      <w:r w:rsidRPr="006D6513">
        <w:rPr>
          <w:rFonts w:ascii="Century Gothic" w:hAnsi="Century Gothic" w:cs="Calibri Light"/>
          <w:sz w:val="20"/>
          <w:szCs w:val="20"/>
        </w:rPr>
        <w:lastRenderedPageBreak/>
        <w:t xml:space="preserve">personalized health, genomic analysis, biostatistics, epidemiology, informatics, population health, comparative effectiveness, and health services research. </w:t>
      </w:r>
      <w:r w:rsidR="00275AA8" w:rsidRPr="006D6513">
        <w:rPr>
          <w:rFonts w:ascii="Century Gothic" w:hAnsi="Century Gothic" w:cs="Calibri Light"/>
          <w:sz w:val="20"/>
          <w:szCs w:val="20"/>
        </w:rPr>
        <w:t xml:space="preserve"> </w:t>
      </w:r>
      <w:r w:rsidR="00275AA8" w:rsidRPr="006D6513">
        <w:rPr>
          <w:rFonts w:ascii="Century Gothic" w:hAnsi="Century Gothic" w:cstheme="minorBidi"/>
          <w:color w:val="auto"/>
          <w:sz w:val="20"/>
          <w:szCs w:val="20"/>
          <w:u w:val="single"/>
        </w:rPr>
        <w:t>Specific to this application, we intend to:</w:t>
      </w:r>
    </w:p>
    <w:p w14:paraId="082D0396" w14:textId="77777777" w:rsidR="004463DC" w:rsidRPr="006D6513" w:rsidRDefault="004463DC" w:rsidP="004463DC">
      <w:pPr>
        <w:pStyle w:val="Default"/>
        <w:rPr>
          <w:rFonts w:ascii="Century Gothic" w:hAnsi="Century Gothic"/>
          <w:sz w:val="20"/>
          <w:szCs w:val="20"/>
        </w:rPr>
      </w:pPr>
    </w:p>
    <w:p w14:paraId="152918A4" w14:textId="3DC179C3" w:rsidR="0049164B" w:rsidRPr="006D6513" w:rsidRDefault="001623AC" w:rsidP="001623AC">
      <w:pPr>
        <w:pStyle w:val="Default"/>
        <w:rPr>
          <w:rFonts w:ascii="Century Gothic" w:hAnsi="Century Gothic" w:cstheme="minorBidi"/>
          <w:color w:val="auto"/>
          <w:sz w:val="20"/>
          <w:szCs w:val="20"/>
          <w:u w:val="single"/>
        </w:rPr>
      </w:pPr>
      <w:r w:rsidRPr="006D6513">
        <w:rPr>
          <w:rFonts w:ascii="Century Gothic" w:hAnsi="Century Gothic"/>
          <w:sz w:val="20"/>
          <w:szCs w:val="20"/>
        </w:rPr>
        <w:t xml:space="preserve">The CTSI’s </w:t>
      </w:r>
      <w:r w:rsidRPr="006D6513">
        <w:rPr>
          <w:rFonts w:ascii="Century Gothic" w:hAnsi="Century Gothic"/>
          <w:b/>
          <w:bCs/>
          <w:sz w:val="20"/>
          <w:szCs w:val="20"/>
        </w:rPr>
        <w:t>K12 Early Career Faculty Development Program</w:t>
      </w:r>
      <w:r w:rsidRPr="006D6513">
        <w:rPr>
          <w:rFonts w:ascii="Century Gothic" w:hAnsi="Century Gothic"/>
          <w:sz w:val="20"/>
          <w:szCs w:val="20"/>
        </w:rPr>
        <w:t xml:space="preserve"> offers training for mentored research and career development support for junior investigators. The CTSI’s </w:t>
      </w:r>
      <w:r w:rsidRPr="006D6513">
        <w:rPr>
          <w:rFonts w:ascii="Century Gothic" w:hAnsi="Century Gothic"/>
          <w:b/>
          <w:bCs/>
          <w:sz w:val="20"/>
          <w:szCs w:val="20"/>
        </w:rPr>
        <w:t xml:space="preserve">Spheres of Translation Across the Research Spectrum (STARS) </w:t>
      </w:r>
      <w:proofErr w:type="gramStart"/>
      <w:r w:rsidRPr="006D6513">
        <w:rPr>
          <w:rFonts w:ascii="Century Gothic" w:hAnsi="Century Gothic"/>
          <w:b/>
          <w:bCs/>
          <w:sz w:val="20"/>
          <w:szCs w:val="20"/>
        </w:rPr>
        <w:t>Pre &amp;</w:t>
      </w:r>
      <w:proofErr w:type="gramEnd"/>
      <w:r w:rsidRPr="006D6513">
        <w:rPr>
          <w:rFonts w:ascii="Century Gothic" w:hAnsi="Century Gothic"/>
          <w:b/>
          <w:bCs/>
          <w:sz w:val="20"/>
          <w:szCs w:val="20"/>
        </w:rPr>
        <w:t xml:space="preserve"> Postdoctoral T32 Program</w:t>
      </w:r>
      <w:r w:rsidRPr="006D6513">
        <w:rPr>
          <w:rFonts w:ascii="Century Gothic" w:hAnsi="Century Gothic"/>
          <w:sz w:val="20"/>
          <w:szCs w:val="20"/>
        </w:rPr>
        <w:t xml:space="preserve"> provides pre- and post-doctoral training opportunities in translational research across three spheres of </w:t>
      </w:r>
      <w:r w:rsidRPr="006D6513">
        <w:rPr>
          <w:rFonts w:ascii="Century Gothic" w:hAnsi="Century Gothic"/>
          <w:color w:val="auto"/>
          <w:sz w:val="20"/>
          <w:szCs w:val="20"/>
        </w:rPr>
        <w:t xml:space="preserve">emphasis (Discover, Demonstration, and Dissemination). </w:t>
      </w:r>
      <w:r w:rsidR="00275AA8" w:rsidRPr="006D6513">
        <w:rPr>
          <w:rFonts w:ascii="Century Gothic" w:hAnsi="Century Gothic" w:cstheme="minorBidi"/>
          <w:color w:val="auto"/>
          <w:sz w:val="20"/>
          <w:szCs w:val="20"/>
          <w:u w:val="single"/>
        </w:rPr>
        <w:t>Specific to this application, we intend to:</w:t>
      </w:r>
    </w:p>
    <w:p w14:paraId="5E1C56DE" w14:textId="77777777" w:rsidR="0049164B" w:rsidRPr="006D6513" w:rsidRDefault="0049164B" w:rsidP="001623AC">
      <w:pPr>
        <w:pStyle w:val="Default"/>
        <w:rPr>
          <w:rFonts w:ascii="Century Gothic" w:hAnsi="Century Gothic" w:cs="Calibri Light"/>
          <w:sz w:val="20"/>
          <w:szCs w:val="20"/>
        </w:rPr>
      </w:pPr>
    </w:p>
    <w:p w14:paraId="553D90A1" w14:textId="1A7084EB" w:rsidR="001623AC" w:rsidRPr="006D6513" w:rsidRDefault="004463DC" w:rsidP="001623AC">
      <w:pPr>
        <w:pStyle w:val="Default"/>
        <w:rPr>
          <w:rFonts w:ascii="Century Gothic" w:hAnsi="Century Gothic"/>
          <w:color w:val="auto"/>
          <w:sz w:val="20"/>
          <w:szCs w:val="20"/>
        </w:rPr>
      </w:pPr>
      <w:r w:rsidRPr="006D6513">
        <w:rPr>
          <w:rFonts w:ascii="Century Gothic" w:hAnsi="Century Gothic" w:cs="Calibri Light"/>
          <w:sz w:val="20"/>
          <w:szCs w:val="20"/>
        </w:rPr>
        <w:t xml:space="preserve">In addition, the CTSI is collaborating with the Salt Lake Center for Science Education to cultivate science self-efficacy in grade 7–12 STEM students and provide professional development opportunities for our trainees. </w:t>
      </w:r>
      <w:r w:rsidR="001623AC" w:rsidRPr="006D6513">
        <w:rPr>
          <w:rFonts w:ascii="Century Gothic" w:hAnsi="Century Gothic"/>
          <w:color w:val="auto"/>
          <w:sz w:val="20"/>
          <w:szCs w:val="20"/>
        </w:rPr>
        <w:t xml:space="preserve">Finally, the CTSI offers monthly K-Club meetings, cyclical R01 Writing Groups, a Peer Grant Review Program, Pilot Grant Programs, and an annual Translational Research Trainee Symposium. </w:t>
      </w:r>
    </w:p>
    <w:p w14:paraId="42CCF68F" w14:textId="292924CC" w:rsidR="006D530F" w:rsidRPr="006D6513" w:rsidRDefault="006D530F" w:rsidP="00E950DD">
      <w:pPr>
        <w:tabs>
          <w:tab w:val="left" w:pos="6120"/>
        </w:tabs>
        <w:rPr>
          <w:rFonts w:eastAsia="Calibri" w:cs="Times New Roman"/>
          <w:sz w:val="20"/>
          <w:szCs w:val="20"/>
        </w:rPr>
      </w:pPr>
    </w:p>
    <w:p w14:paraId="5376F5DF" w14:textId="75494E6B" w:rsidR="00676B97" w:rsidRPr="006D6513" w:rsidRDefault="00676B97" w:rsidP="00E950DD">
      <w:pPr>
        <w:pStyle w:val="BodyText"/>
        <w:ind w:right="216"/>
        <w:jc w:val="both"/>
        <w:rPr>
          <w:rFonts w:ascii="Century Gothic" w:eastAsia="Calibri" w:hAnsi="Century Gothic" w:cs="Times New Roman"/>
        </w:rPr>
      </w:pPr>
      <w:r w:rsidRPr="006D6513">
        <w:rPr>
          <w:rFonts w:ascii="Century Gothic" w:eastAsia="Calibri" w:hAnsi="Century Gothic" w:cs="Times New Roman"/>
        </w:rPr>
        <w:t xml:space="preserve">The Utah CTSI </w:t>
      </w:r>
      <w:r w:rsidR="00BF786E" w:rsidRPr="006D6513">
        <w:rPr>
          <w:rFonts w:ascii="Century Gothic" w:eastAsia="Calibri" w:hAnsi="Century Gothic" w:cs="Times New Roman"/>
        </w:rPr>
        <w:t>looks</w:t>
      </w:r>
      <w:r w:rsidRPr="006D6513">
        <w:rPr>
          <w:rFonts w:ascii="Century Gothic" w:eastAsia="Calibri" w:hAnsi="Century Gothic" w:cs="Times New Roman"/>
        </w:rPr>
        <w:t xml:space="preserve"> forward to supporting your project. We wish you every success on your application.</w:t>
      </w:r>
    </w:p>
    <w:p w14:paraId="4C2F0853" w14:textId="435F3AD5" w:rsidR="00676B97" w:rsidRPr="006D6513" w:rsidRDefault="00676B97" w:rsidP="00E950DD">
      <w:pPr>
        <w:pStyle w:val="BodyText"/>
        <w:ind w:right="216"/>
        <w:jc w:val="both"/>
        <w:rPr>
          <w:rFonts w:ascii="Century Gothic" w:eastAsia="Calibri" w:hAnsi="Century Gothic" w:cs="Times New Roman"/>
        </w:rPr>
      </w:pPr>
    </w:p>
    <w:p w14:paraId="494934D3" w14:textId="62ED2049" w:rsidR="00060070" w:rsidRPr="006D6513" w:rsidRDefault="00676B97" w:rsidP="00E950DD">
      <w:pPr>
        <w:pStyle w:val="BodyText"/>
        <w:ind w:right="216"/>
        <w:jc w:val="both"/>
        <w:rPr>
          <w:rFonts w:ascii="Century Gothic" w:eastAsia="Calibri" w:hAnsi="Century Gothic" w:cs="Times New Roman"/>
        </w:rPr>
      </w:pPr>
      <w:r w:rsidRPr="006D6513">
        <w:rPr>
          <w:rFonts w:ascii="Century Gothic" w:eastAsia="Calibri" w:hAnsi="Century Gothic" w:cs="Times New Roman"/>
        </w:rPr>
        <w:t xml:space="preserve">Sincerely, </w:t>
      </w:r>
    </w:p>
    <w:p w14:paraId="3DFC7586" w14:textId="59E70CCF" w:rsidR="00676B97" w:rsidRPr="006D6513" w:rsidRDefault="00676B97" w:rsidP="00E950DD">
      <w:pPr>
        <w:pStyle w:val="BodyText"/>
        <w:ind w:right="216"/>
        <w:jc w:val="both"/>
        <w:rPr>
          <w:rFonts w:ascii="Century Gothic" w:hAnsi="Century Gothic" w:cs="Times New Roman"/>
        </w:rPr>
      </w:pPr>
    </w:p>
    <w:p w14:paraId="0FE34AA0" w14:textId="77777777" w:rsidR="00676B97" w:rsidRPr="006D6513" w:rsidRDefault="00676B97" w:rsidP="00E950DD">
      <w:pPr>
        <w:pStyle w:val="BodyText"/>
        <w:ind w:right="216"/>
        <w:jc w:val="both"/>
        <w:rPr>
          <w:rFonts w:ascii="Century Gothic" w:hAnsi="Century Gothic" w:cs="Times New Roman"/>
        </w:rPr>
      </w:pPr>
    </w:p>
    <w:p w14:paraId="2BB8139D" w14:textId="77777777" w:rsidR="00676B97" w:rsidRPr="006D6513" w:rsidRDefault="00676B97" w:rsidP="00E950DD">
      <w:pPr>
        <w:pStyle w:val="BodyText"/>
        <w:ind w:right="216"/>
        <w:jc w:val="both"/>
        <w:rPr>
          <w:rFonts w:ascii="Century Gothic" w:hAnsi="Century Gothic" w:cs="Times New Roman"/>
        </w:rPr>
      </w:pPr>
    </w:p>
    <w:p w14:paraId="22495E7A" w14:textId="426FCB88" w:rsidR="0058230C" w:rsidRPr="006D6513" w:rsidRDefault="00AF0F49" w:rsidP="00650F65">
      <w:pPr>
        <w:pStyle w:val="BodyText"/>
        <w:ind w:right="216"/>
        <w:jc w:val="both"/>
        <w:rPr>
          <w:rFonts w:ascii="Century Gothic" w:hAnsi="Century Gothic" w:cs="Times New Roman"/>
        </w:rPr>
      </w:pPr>
      <w:r w:rsidRPr="006D6513">
        <w:rPr>
          <w:rFonts w:ascii="Century Gothic" w:hAnsi="Century Gothic" w:cs="Times New Roman"/>
          <w:b/>
        </w:rPr>
        <w:t xml:space="preserve">Rachel Hess &amp; Jennifer </w:t>
      </w:r>
      <w:r w:rsidR="00275AA8" w:rsidRPr="006D6513">
        <w:rPr>
          <w:rFonts w:ascii="Century Gothic" w:hAnsi="Century Gothic" w:cs="Times New Roman"/>
          <w:b/>
        </w:rPr>
        <w:t xml:space="preserve">J. </w:t>
      </w:r>
      <w:r w:rsidRPr="006D6513">
        <w:rPr>
          <w:rFonts w:ascii="Century Gothic" w:hAnsi="Century Gothic" w:cs="Times New Roman"/>
          <w:b/>
        </w:rPr>
        <w:t>Majersik</w:t>
      </w:r>
    </w:p>
    <w:sectPr w:rsidR="0058230C" w:rsidRPr="006D6513" w:rsidSect="004C01B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EE054" w14:textId="77777777" w:rsidR="00317B80" w:rsidRDefault="00317B80" w:rsidP="00CA20FE">
      <w:r>
        <w:separator/>
      </w:r>
    </w:p>
  </w:endnote>
  <w:endnote w:type="continuationSeparator" w:id="0">
    <w:p w14:paraId="389D355C" w14:textId="77777777" w:rsidR="00317B80" w:rsidRDefault="00317B80" w:rsidP="00CA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A22E" w14:textId="77777777" w:rsidR="00A35E42" w:rsidRDefault="00A35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E9EE4" w14:textId="77777777" w:rsidR="00A35E42" w:rsidRDefault="00A35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2E524" w14:textId="77777777" w:rsidR="00A35E42" w:rsidRDefault="00A35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C1407" w14:textId="77777777" w:rsidR="00317B80" w:rsidRDefault="00317B80" w:rsidP="00CA20FE">
      <w:r>
        <w:separator/>
      </w:r>
    </w:p>
  </w:footnote>
  <w:footnote w:type="continuationSeparator" w:id="0">
    <w:p w14:paraId="352742C2" w14:textId="77777777" w:rsidR="00317B80" w:rsidRDefault="00317B80" w:rsidP="00CA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FDA2" w14:textId="77777777" w:rsidR="00A35E42" w:rsidRDefault="00A35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7CCA" w14:textId="77777777" w:rsidR="00A35E42" w:rsidRDefault="00A35E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BCB1" w14:textId="05C446A1" w:rsidR="00034AF2" w:rsidRDefault="00034AF2" w:rsidP="00A35E42">
    <w:pPr>
      <w:pStyle w:val="Header"/>
      <w:ind w:right="-360"/>
    </w:pPr>
    <w:r>
      <w:rPr>
        <w:noProof/>
      </w:rPr>
      <w:drawing>
        <wp:anchor distT="0" distB="0" distL="114300" distR="114300" simplePos="0" relativeHeight="251659264" behindDoc="1" locked="0" layoutInCell="1" allowOverlap="1" wp14:anchorId="55D63DC4" wp14:editId="7D211DFF">
          <wp:simplePos x="0" y="0"/>
          <wp:positionH relativeFrom="page">
            <wp:posOffset>7495</wp:posOffset>
          </wp:positionH>
          <wp:positionV relativeFrom="page">
            <wp:posOffset>7495</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FE"/>
    <w:rsid w:val="000102E9"/>
    <w:rsid w:val="00026E08"/>
    <w:rsid w:val="00034AF2"/>
    <w:rsid w:val="00060070"/>
    <w:rsid w:val="00074314"/>
    <w:rsid w:val="0009795B"/>
    <w:rsid w:val="000D06B9"/>
    <w:rsid w:val="000E6EE4"/>
    <w:rsid w:val="000F136C"/>
    <w:rsid w:val="000F15CF"/>
    <w:rsid w:val="000F4553"/>
    <w:rsid w:val="000F7609"/>
    <w:rsid w:val="00107C85"/>
    <w:rsid w:val="00113314"/>
    <w:rsid w:val="00120910"/>
    <w:rsid w:val="00125DA6"/>
    <w:rsid w:val="00144E3E"/>
    <w:rsid w:val="00153AD8"/>
    <w:rsid w:val="001623AC"/>
    <w:rsid w:val="00170433"/>
    <w:rsid w:val="00196FAB"/>
    <w:rsid w:val="001B69F1"/>
    <w:rsid w:val="001F18F0"/>
    <w:rsid w:val="0024286B"/>
    <w:rsid w:val="00260440"/>
    <w:rsid w:val="0026615E"/>
    <w:rsid w:val="00275AA8"/>
    <w:rsid w:val="00290FEA"/>
    <w:rsid w:val="002C6027"/>
    <w:rsid w:val="00314062"/>
    <w:rsid w:val="00317B55"/>
    <w:rsid w:val="00317B80"/>
    <w:rsid w:val="003402A9"/>
    <w:rsid w:val="003D3329"/>
    <w:rsid w:val="003D627E"/>
    <w:rsid w:val="003E1D1D"/>
    <w:rsid w:val="003F2073"/>
    <w:rsid w:val="003F3E15"/>
    <w:rsid w:val="004463DC"/>
    <w:rsid w:val="00477399"/>
    <w:rsid w:val="00483FB0"/>
    <w:rsid w:val="00486876"/>
    <w:rsid w:val="0049164B"/>
    <w:rsid w:val="004B5DB7"/>
    <w:rsid w:val="004B7474"/>
    <w:rsid w:val="004C01BD"/>
    <w:rsid w:val="004D2191"/>
    <w:rsid w:val="00505C44"/>
    <w:rsid w:val="00514FA6"/>
    <w:rsid w:val="00534235"/>
    <w:rsid w:val="005376DE"/>
    <w:rsid w:val="00547541"/>
    <w:rsid w:val="005764A1"/>
    <w:rsid w:val="0058230C"/>
    <w:rsid w:val="005A4806"/>
    <w:rsid w:val="005A6FEE"/>
    <w:rsid w:val="005F1892"/>
    <w:rsid w:val="00650F65"/>
    <w:rsid w:val="00676B97"/>
    <w:rsid w:val="0068693A"/>
    <w:rsid w:val="006C523F"/>
    <w:rsid w:val="006D530F"/>
    <w:rsid w:val="006D6513"/>
    <w:rsid w:val="007049E6"/>
    <w:rsid w:val="00711C10"/>
    <w:rsid w:val="0074537E"/>
    <w:rsid w:val="00822644"/>
    <w:rsid w:val="0082615F"/>
    <w:rsid w:val="00842653"/>
    <w:rsid w:val="00861DD3"/>
    <w:rsid w:val="008824BA"/>
    <w:rsid w:val="00920E7E"/>
    <w:rsid w:val="009249DC"/>
    <w:rsid w:val="00936798"/>
    <w:rsid w:val="00957B6C"/>
    <w:rsid w:val="00982C19"/>
    <w:rsid w:val="009912A8"/>
    <w:rsid w:val="009C1294"/>
    <w:rsid w:val="009C7DFC"/>
    <w:rsid w:val="009E6995"/>
    <w:rsid w:val="009F7CE6"/>
    <w:rsid w:val="00A35E42"/>
    <w:rsid w:val="00A5391A"/>
    <w:rsid w:val="00A6370B"/>
    <w:rsid w:val="00AA405F"/>
    <w:rsid w:val="00AC4A33"/>
    <w:rsid w:val="00AD7D9B"/>
    <w:rsid w:val="00AE7575"/>
    <w:rsid w:val="00AF0F49"/>
    <w:rsid w:val="00B26353"/>
    <w:rsid w:val="00B57928"/>
    <w:rsid w:val="00B6655A"/>
    <w:rsid w:val="00B67224"/>
    <w:rsid w:val="00B77FD0"/>
    <w:rsid w:val="00BA7189"/>
    <w:rsid w:val="00BD7F13"/>
    <w:rsid w:val="00BF786E"/>
    <w:rsid w:val="00C55C8F"/>
    <w:rsid w:val="00C81559"/>
    <w:rsid w:val="00C82726"/>
    <w:rsid w:val="00C86CC2"/>
    <w:rsid w:val="00C96A64"/>
    <w:rsid w:val="00CA20FE"/>
    <w:rsid w:val="00CB0504"/>
    <w:rsid w:val="00CD4715"/>
    <w:rsid w:val="00CD792D"/>
    <w:rsid w:val="00D00AD4"/>
    <w:rsid w:val="00D36689"/>
    <w:rsid w:val="00D940B3"/>
    <w:rsid w:val="00DD7E38"/>
    <w:rsid w:val="00E0766D"/>
    <w:rsid w:val="00E20B4D"/>
    <w:rsid w:val="00E224E1"/>
    <w:rsid w:val="00E82482"/>
    <w:rsid w:val="00E84760"/>
    <w:rsid w:val="00E91234"/>
    <w:rsid w:val="00E950DD"/>
    <w:rsid w:val="00EA3878"/>
    <w:rsid w:val="00EE6C3E"/>
    <w:rsid w:val="00F16CDB"/>
    <w:rsid w:val="00F53DA5"/>
    <w:rsid w:val="00FB1660"/>
    <w:rsid w:val="00FE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DD7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7928"/>
    <w:rPr>
      <w:rFonts w:ascii="Century Gothic" w:hAnsi="Century Gothic"/>
    </w:rPr>
  </w:style>
  <w:style w:type="paragraph" w:styleId="Heading2">
    <w:name w:val="heading 2"/>
    <w:basedOn w:val="Normal"/>
    <w:next w:val="Normal"/>
    <w:link w:val="Heading2Char"/>
    <w:uiPriority w:val="9"/>
    <w:unhideWhenUsed/>
    <w:qFormat/>
    <w:rsid w:val="00861D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0FE"/>
    <w:pPr>
      <w:tabs>
        <w:tab w:val="center" w:pos="4680"/>
        <w:tab w:val="right" w:pos="9360"/>
      </w:tabs>
    </w:pPr>
  </w:style>
  <w:style w:type="character" w:customStyle="1" w:styleId="HeaderChar">
    <w:name w:val="Header Char"/>
    <w:basedOn w:val="DefaultParagraphFont"/>
    <w:link w:val="Header"/>
    <w:uiPriority w:val="99"/>
    <w:rsid w:val="00CA20FE"/>
  </w:style>
  <w:style w:type="paragraph" w:styleId="Footer">
    <w:name w:val="footer"/>
    <w:basedOn w:val="Normal"/>
    <w:link w:val="FooterChar"/>
    <w:uiPriority w:val="99"/>
    <w:unhideWhenUsed/>
    <w:rsid w:val="00CA20FE"/>
    <w:pPr>
      <w:tabs>
        <w:tab w:val="center" w:pos="4680"/>
        <w:tab w:val="right" w:pos="9360"/>
      </w:tabs>
    </w:pPr>
  </w:style>
  <w:style w:type="character" w:customStyle="1" w:styleId="FooterChar">
    <w:name w:val="Footer Char"/>
    <w:basedOn w:val="DefaultParagraphFont"/>
    <w:link w:val="Footer"/>
    <w:uiPriority w:val="99"/>
    <w:rsid w:val="00CA20FE"/>
  </w:style>
  <w:style w:type="character" w:customStyle="1" w:styleId="Heading2Char">
    <w:name w:val="Heading 2 Char"/>
    <w:basedOn w:val="DefaultParagraphFont"/>
    <w:link w:val="Heading2"/>
    <w:uiPriority w:val="9"/>
    <w:rsid w:val="00861DD3"/>
    <w:rPr>
      <w:rFonts w:asciiTheme="majorHAnsi" w:eastAsiaTheme="majorEastAsia" w:hAnsiTheme="majorHAnsi" w:cstheme="majorBidi"/>
      <w:color w:val="2E74B5" w:themeColor="accent1" w:themeShade="BF"/>
      <w:sz w:val="26"/>
      <w:szCs w:val="26"/>
    </w:rPr>
  </w:style>
  <w:style w:type="paragraph" w:customStyle="1" w:styleId="Default">
    <w:name w:val="Default"/>
    <w:rsid w:val="00861DD3"/>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iPriority w:val="1"/>
    <w:qFormat/>
    <w:rsid w:val="00920E7E"/>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920E7E"/>
    <w:rPr>
      <w:rFonts w:ascii="Arial" w:eastAsia="Arial" w:hAnsi="Arial" w:cs="Arial"/>
      <w:sz w:val="20"/>
      <w:szCs w:val="20"/>
    </w:rPr>
  </w:style>
  <w:style w:type="paragraph" w:styleId="ListParagraph">
    <w:name w:val="List Paragraph"/>
    <w:basedOn w:val="Normal"/>
    <w:link w:val="ListParagraphChar"/>
    <w:qFormat/>
    <w:rsid w:val="00EE6C3E"/>
    <w:pPr>
      <w:ind w:left="720"/>
      <w:contextualSpacing/>
    </w:pPr>
    <w:rPr>
      <w:rFonts w:ascii="Times New Roman" w:eastAsia="Times New Roman" w:hAnsi="Times New Roman" w:cs="Times New Roman"/>
    </w:rPr>
  </w:style>
  <w:style w:type="character" w:customStyle="1" w:styleId="ListParagraphChar">
    <w:name w:val="List Paragraph Char"/>
    <w:basedOn w:val="DefaultParagraphFont"/>
    <w:link w:val="ListParagraph"/>
    <w:locked/>
    <w:rsid w:val="00EE6C3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A3878"/>
    <w:rPr>
      <w:sz w:val="16"/>
      <w:szCs w:val="16"/>
    </w:rPr>
  </w:style>
  <w:style w:type="paragraph" w:styleId="CommentText">
    <w:name w:val="annotation text"/>
    <w:basedOn w:val="Normal"/>
    <w:link w:val="CommentTextChar"/>
    <w:uiPriority w:val="99"/>
    <w:semiHidden/>
    <w:unhideWhenUsed/>
    <w:rsid w:val="00EA3878"/>
    <w:rPr>
      <w:sz w:val="20"/>
      <w:szCs w:val="20"/>
    </w:rPr>
  </w:style>
  <w:style w:type="character" w:customStyle="1" w:styleId="CommentTextChar">
    <w:name w:val="Comment Text Char"/>
    <w:basedOn w:val="DefaultParagraphFont"/>
    <w:link w:val="CommentText"/>
    <w:uiPriority w:val="99"/>
    <w:semiHidden/>
    <w:rsid w:val="00EA387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EA3878"/>
    <w:rPr>
      <w:b/>
      <w:bCs/>
    </w:rPr>
  </w:style>
  <w:style w:type="character" w:customStyle="1" w:styleId="CommentSubjectChar">
    <w:name w:val="Comment Subject Char"/>
    <w:basedOn w:val="CommentTextChar"/>
    <w:link w:val="CommentSubject"/>
    <w:uiPriority w:val="99"/>
    <w:semiHidden/>
    <w:rsid w:val="00EA3878"/>
    <w:rPr>
      <w:rFonts w:ascii="Century Gothic" w:hAnsi="Century Gothic"/>
      <w:b/>
      <w:bCs/>
      <w:sz w:val="20"/>
      <w:szCs w:val="20"/>
    </w:rPr>
  </w:style>
  <w:style w:type="paragraph" w:styleId="BalloonText">
    <w:name w:val="Balloon Text"/>
    <w:basedOn w:val="Normal"/>
    <w:link w:val="BalloonTextChar"/>
    <w:uiPriority w:val="99"/>
    <w:semiHidden/>
    <w:unhideWhenUsed/>
    <w:rsid w:val="00EA3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78"/>
    <w:rPr>
      <w:rFonts w:ascii="Segoe UI" w:hAnsi="Segoe UI" w:cs="Segoe UI"/>
      <w:sz w:val="18"/>
      <w:szCs w:val="18"/>
    </w:rPr>
  </w:style>
  <w:style w:type="character" w:customStyle="1" w:styleId="contentpasted0">
    <w:name w:val="contentpasted0"/>
    <w:basedOn w:val="DefaultParagraphFont"/>
    <w:rsid w:val="006C523F"/>
  </w:style>
  <w:style w:type="character" w:customStyle="1" w:styleId="apple-converted-space">
    <w:name w:val="apple-converted-space"/>
    <w:basedOn w:val="DefaultParagraphFont"/>
    <w:rsid w:val="006C523F"/>
  </w:style>
  <w:style w:type="character" w:customStyle="1" w:styleId="contentpasted5">
    <w:name w:val="contentpasted5"/>
    <w:basedOn w:val="DefaultParagraphFont"/>
    <w:rsid w:val="006C523F"/>
  </w:style>
  <w:style w:type="character" w:customStyle="1" w:styleId="contentpasted2">
    <w:name w:val="contentpasted2"/>
    <w:basedOn w:val="DefaultParagraphFont"/>
    <w:rsid w:val="006C523F"/>
  </w:style>
  <w:style w:type="character" w:customStyle="1" w:styleId="contentpasted3">
    <w:name w:val="contentpasted3"/>
    <w:basedOn w:val="DefaultParagraphFont"/>
    <w:rsid w:val="006C523F"/>
  </w:style>
  <w:style w:type="character" w:customStyle="1" w:styleId="ui-provider">
    <w:name w:val="ui-provider"/>
    <w:basedOn w:val="DefaultParagraphFont"/>
    <w:rsid w:val="00C86CC2"/>
  </w:style>
  <w:style w:type="paragraph" w:styleId="Revision">
    <w:name w:val="Revision"/>
    <w:hidden/>
    <w:uiPriority w:val="99"/>
    <w:semiHidden/>
    <w:rsid w:val="00275AA8"/>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591156">
      <w:bodyDiv w:val="1"/>
      <w:marLeft w:val="0"/>
      <w:marRight w:val="0"/>
      <w:marTop w:val="0"/>
      <w:marBottom w:val="0"/>
      <w:divBdr>
        <w:top w:val="none" w:sz="0" w:space="0" w:color="auto"/>
        <w:left w:val="none" w:sz="0" w:space="0" w:color="auto"/>
        <w:bottom w:val="none" w:sz="0" w:space="0" w:color="auto"/>
        <w:right w:val="none" w:sz="0" w:space="0" w:color="auto"/>
      </w:divBdr>
    </w:div>
    <w:div w:id="629556538">
      <w:bodyDiv w:val="1"/>
      <w:marLeft w:val="0"/>
      <w:marRight w:val="0"/>
      <w:marTop w:val="0"/>
      <w:marBottom w:val="0"/>
      <w:divBdr>
        <w:top w:val="none" w:sz="0" w:space="0" w:color="auto"/>
        <w:left w:val="none" w:sz="0" w:space="0" w:color="auto"/>
        <w:bottom w:val="none" w:sz="0" w:space="0" w:color="auto"/>
        <w:right w:val="none" w:sz="0" w:space="0" w:color="auto"/>
      </w:divBdr>
    </w:div>
    <w:div w:id="674763892">
      <w:bodyDiv w:val="1"/>
      <w:marLeft w:val="0"/>
      <w:marRight w:val="0"/>
      <w:marTop w:val="0"/>
      <w:marBottom w:val="0"/>
      <w:divBdr>
        <w:top w:val="none" w:sz="0" w:space="0" w:color="auto"/>
        <w:left w:val="none" w:sz="0" w:space="0" w:color="auto"/>
        <w:bottom w:val="none" w:sz="0" w:space="0" w:color="auto"/>
        <w:right w:val="none" w:sz="0" w:space="0" w:color="auto"/>
      </w:divBdr>
    </w:div>
    <w:div w:id="894201037">
      <w:bodyDiv w:val="1"/>
      <w:marLeft w:val="0"/>
      <w:marRight w:val="0"/>
      <w:marTop w:val="0"/>
      <w:marBottom w:val="0"/>
      <w:divBdr>
        <w:top w:val="none" w:sz="0" w:space="0" w:color="auto"/>
        <w:left w:val="none" w:sz="0" w:space="0" w:color="auto"/>
        <w:bottom w:val="none" w:sz="0" w:space="0" w:color="auto"/>
        <w:right w:val="none" w:sz="0" w:space="0" w:color="auto"/>
      </w:divBdr>
    </w:div>
    <w:div w:id="973608133">
      <w:bodyDiv w:val="1"/>
      <w:marLeft w:val="0"/>
      <w:marRight w:val="0"/>
      <w:marTop w:val="0"/>
      <w:marBottom w:val="0"/>
      <w:divBdr>
        <w:top w:val="none" w:sz="0" w:space="0" w:color="auto"/>
        <w:left w:val="none" w:sz="0" w:space="0" w:color="auto"/>
        <w:bottom w:val="none" w:sz="0" w:space="0" w:color="auto"/>
        <w:right w:val="none" w:sz="0" w:space="0" w:color="auto"/>
      </w:divBdr>
    </w:div>
    <w:div w:id="1279214314">
      <w:bodyDiv w:val="1"/>
      <w:marLeft w:val="0"/>
      <w:marRight w:val="0"/>
      <w:marTop w:val="0"/>
      <w:marBottom w:val="0"/>
      <w:divBdr>
        <w:top w:val="none" w:sz="0" w:space="0" w:color="auto"/>
        <w:left w:val="none" w:sz="0" w:space="0" w:color="auto"/>
        <w:bottom w:val="none" w:sz="0" w:space="0" w:color="auto"/>
        <w:right w:val="none" w:sz="0" w:space="0" w:color="auto"/>
      </w:divBdr>
    </w:div>
    <w:div w:id="1748108484">
      <w:bodyDiv w:val="1"/>
      <w:marLeft w:val="0"/>
      <w:marRight w:val="0"/>
      <w:marTop w:val="0"/>
      <w:marBottom w:val="0"/>
      <w:divBdr>
        <w:top w:val="none" w:sz="0" w:space="0" w:color="auto"/>
        <w:left w:val="none" w:sz="0" w:space="0" w:color="auto"/>
        <w:bottom w:val="none" w:sz="0" w:space="0" w:color="auto"/>
        <w:right w:val="none" w:sz="0" w:space="0" w:color="auto"/>
      </w:divBdr>
    </w:div>
    <w:div w:id="1952928158">
      <w:bodyDiv w:val="1"/>
      <w:marLeft w:val="0"/>
      <w:marRight w:val="0"/>
      <w:marTop w:val="0"/>
      <w:marBottom w:val="0"/>
      <w:divBdr>
        <w:top w:val="none" w:sz="0" w:space="0" w:color="auto"/>
        <w:left w:val="none" w:sz="0" w:space="0" w:color="auto"/>
        <w:bottom w:val="none" w:sz="0" w:space="0" w:color="auto"/>
        <w:right w:val="none" w:sz="0" w:space="0" w:color="auto"/>
      </w:divBdr>
    </w:div>
    <w:div w:id="1998800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750E-78C0-4136-A1A3-3D720598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Rebekah J Hendon</cp:lastModifiedBy>
  <cp:revision>3</cp:revision>
  <dcterms:created xsi:type="dcterms:W3CDTF">2024-01-03T18:52:00Z</dcterms:created>
  <dcterms:modified xsi:type="dcterms:W3CDTF">2024-01-03T18:53:00Z</dcterms:modified>
</cp:coreProperties>
</file>